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4" w:rsidRDefault="006D3BF0" w:rsidP="006D3BF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702"/>
        <w:gridCol w:w="3773"/>
        <w:gridCol w:w="4165"/>
      </w:tblGrid>
      <w:tr w:rsidR="001C02E8" w:rsidRPr="00A57547" w:rsidTr="00986850">
        <w:trPr>
          <w:trHeight w:val="758"/>
        </w:trPr>
        <w:tc>
          <w:tcPr>
            <w:tcW w:w="5475" w:type="dxa"/>
            <w:gridSpan w:val="2"/>
          </w:tcPr>
          <w:p w:rsidR="001C02E8" w:rsidRPr="00A57547" w:rsidRDefault="006D3BF0" w:rsidP="009868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0F9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CF5EA5">
              <w:rPr>
                <w:sz w:val="28"/>
                <w:szCs w:val="28"/>
              </w:rPr>
              <w:t>.2024</w:t>
            </w:r>
          </w:p>
          <w:p w:rsidR="001C02E8" w:rsidRPr="0039448C" w:rsidRDefault="00242DAE" w:rsidP="00FA0E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</w:t>
            </w:r>
            <w:r w:rsidR="00FA0E6A">
              <w:rPr>
                <w:sz w:val="28"/>
                <w:szCs w:val="28"/>
              </w:rPr>
              <w:t>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</w:t>
            </w:r>
            <w:r w:rsidR="006D3BF0">
              <w:rPr>
                <w:sz w:val="28"/>
                <w:szCs w:val="28"/>
              </w:rPr>
              <w:t xml:space="preserve"> </w:t>
            </w:r>
            <w:r w:rsidRPr="00391A8A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D3BF0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986850">
        <w:trPr>
          <w:trHeight w:val="380"/>
        </w:trPr>
        <w:tc>
          <w:tcPr>
            <w:tcW w:w="1702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</w:t>
            </w:r>
            <w:r w:rsidR="00FA0E6A">
              <w:rPr>
                <w:sz w:val="28"/>
                <w:szCs w:val="28"/>
              </w:rPr>
              <w:t>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FA0E6A">
              <w:rPr>
                <w:sz w:val="28"/>
                <w:szCs w:val="28"/>
              </w:rPr>
              <w:t>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ED021E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16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AA67C7" w:rsidRPr="00AA67C7" w:rsidRDefault="00AA67C7" w:rsidP="00FF7DFF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AA67C7" w:rsidRDefault="00AA67C7" w:rsidP="00FF7DFF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>Приглашенные:</w:t>
            </w:r>
          </w:p>
          <w:p w:rsidR="00AA67C7" w:rsidRPr="00AA67C7" w:rsidRDefault="00AA67C7" w:rsidP="00AA67C7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7C7">
              <w:rPr>
                <w:rFonts w:ascii="Times New Roman" w:eastAsia="Times New Roman" w:hAnsi="Times New Roman" w:cs="Times New Roman"/>
                <w:lang w:eastAsia="ru-RU"/>
              </w:rPr>
              <w:t>- заместители главы администрации;</w:t>
            </w:r>
          </w:p>
          <w:p w:rsidR="00AA67C7" w:rsidRDefault="00AA67C7" w:rsidP="00AA67C7">
            <w:pPr>
              <w:pStyle w:val="a3"/>
              <w:widowControl w:val="0"/>
              <w:rPr>
                <w:sz w:val="28"/>
                <w:szCs w:val="28"/>
              </w:rPr>
            </w:pPr>
            <w:r w:rsidRPr="00143844">
              <w:rPr>
                <w:sz w:val="28"/>
                <w:szCs w:val="28"/>
              </w:rPr>
              <w:t>- руководители отраслевых (функциональных) органов администрации, в соответствии с направлением деятельности.</w:t>
            </w:r>
          </w:p>
          <w:p w:rsidR="00FF7DFF" w:rsidRPr="00ED021E" w:rsidRDefault="00FF7DFF" w:rsidP="00FF7DF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C02E8" w:rsidRPr="00A57547" w:rsidTr="00986850">
        <w:trPr>
          <w:trHeight w:val="2199"/>
        </w:trPr>
        <w:tc>
          <w:tcPr>
            <w:tcW w:w="1702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A0E6A">
              <w:rPr>
                <w:sz w:val="28"/>
                <w:szCs w:val="28"/>
              </w:rPr>
              <w:t>35</w:t>
            </w:r>
            <w:r w:rsidR="00A055F4" w:rsidRPr="00FF2A54">
              <w:rPr>
                <w:sz w:val="28"/>
                <w:szCs w:val="28"/>
              </w:rPr>
              <w:t>–</w:t>
            </w:r>
            <w:r w:rsidR="002D7AEE">
              <w:rPr>
                <w:sz w:val="28"/>
                <w:szCs w:val="28"/>
              </w:rPr>
              <w:t>1</w:t>
            </w:r>
            <w:r w:rsidR="00E0458D">
              <w:rPr>
                <w:sz w:val="28"/>
                <w:szCs w:val="28"/>
              </w:rPr>
              <w:t>0.</w:t>
            </w:r>
            <w:r w:rsidR="00FA0E6A">
              <w:rPr>
                <w:sz w:val="28"/>
                <w:szCs w:val="28"/>
              </w:rPr>
              <w:t>45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6D3BF0" w:rsidRPr="006D3BF0" w:rsidRDefault="006D3BF0" w:rsidP="006D3BF0">
            <w:pPr>
              <w:pStyle w:val="ad"/>
              <w:jc w:val="both"/>
              <w:rPr>
                <w:szCs w:val="28"/>
              </w:rPr>
            </w:pPr>
            <w:r w:rsidRPr="006D3BF0">
              <w:rPr>
                <w:szCs w:val="28"/>
              </w:rPr>
              <w:t>О внесении изменений в решение Думы Уссурийского городского округа от 31 января 2020 года № 167-НПА "Об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</w:t>
            </w:r>
            <w:r>
              <w:rPr>
                <w:szCs w:val="28"/>
              </w:rPr>
              <w:t xml:space="preserve"> </w:t>
            </w:r>
            <w:r w:rsidRPr="006D3BF0">
              <w:rPr>
                <w:szCs w:val="28"/>
              </w:rPr>
              <w:t>Уссурийского городского округа"</w:t>
            </w:r>
            <w:r>
              <w:rPr>
                <w:szCs w:val="28"/>
              </w:rPr>
              <w:t>.</w:t>
            </w:r>
          </w:p>
          <w:p w:rsidR="00B20F93" w:rsidRPr="00B20F93" w:rsidRDefault="00B20F93" w:rsidP="00B20F93">
            <w:pPr>
              <w:pStyle w:val="ad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  <w:p w:rsidR="00767EB8" w:rsidRDefault="00F82809" w:rsidP="00767EB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93613F">
              <w:rPr>
                <w:sz w:val="28"/>
                <w:szCs w:val="28"/>
              </w:rPr>
              <w:t xml:space="preserve"> </w:t>
            </w:r>
            <w:r w:rsidR="006D3BF0" w:rsidRPr="006D3BF0">
              <w:rPr>
                <w:sz w:val="28"/>
                <w:szCs w:val="28"/>
              </w:rPr>
              <w:t>Белецкий Сергей Викторович</w:t>
            </w:r>
            <w:r w:rsidR="006D3BF0">
              <w:rPr>
                <w:sz w:val="28"/>
                <w:szCs w:val="28"/>
              </w:rPr>
              <w:t>, начальник управления жилищной политики администрации.</w:t>
            </w:r>
          </w:p>
          <w:p w:rsidR="0081566D" w:rsidRPr="00ED021E" w:rsidRDefault="0081566D" w:rsidP="00AA67C7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767EB8" w:rsidRPr="00A57547" w:rsidTr="00986850">
        <w:trPr>
          <w:trHeight w:val="1760"/>
        </w:trPr>
        <w:tc>
          <w:tcPr>
            <w:tcW w:w="1702" w:type="dxa"/>
          </w:tcPr>
          <w:p w:rsidR="00745A2A" w:rsidRPr="00A57547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A0E6A">
              <w:rPr>
                <w:sz w:val="28"/>
                <w:szCs w:val="28"/>
              </w:rPr>
              <w:t>45</w:t>
            </w:r>
            <w:r w:rsidRPr="00FF2A54">
              <w:rPr>
                <w:sz w:val="28"/>
                <w:szCs w:val="28"/>
              </w:rPr>
              <w:t>–</w:t>
            </w:r>
            <w:r w:rsidR="00FA0E6A">
              <w:rPr>
                <w:sz w:val="28"/>
                <w:szCs w:val="28"/>
              </w:rPr>
              <w:t>10.55</w:t>
            </w:r>
          </w:p>
          <w:p w:rsidR="00745A2A" w:rsidRPr="00671D3A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767EB8" w:rsidRDefault="00767EB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6D3BF0" w:rsidRPr="006D3BF0" w:rsidRDefault="006D3BF0" w:rsidP="006D3BF0">
            <w:pPr>
              <w:pStyle w:val="ad"/>
              <w:jc w:val="both"/>
              <w:rPr>
                <w:szCs w:val="28"/>
              </w:rPr>
            </w:pPr>
            <w:r w:rsidRPr="006D3BF0">
              <w:rPr>
                <w:szCs w:val="28"/>
              </w:rPr>
              <w:t>О внесении изменения в решение Думы Уссурийского городского округа от 28 ноября 2023 года № 974-НПА "Об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</w:t>
            </w:r>
            <w:r>
              <w:rPr>
                <w:szCs w:val="28"/>
              </w:rPr>
              <w:t xml:space="preserve"> </w:t>
            </w:r>
            <w:r w:rsidRPr="006D3BF0">
              <w:rPr>
                <w:szCs w:val="28"/>
              </w:rPr>
              <w:t>Уссурийского городского округа на 2024 год"</w:t>
            </w:r>
            <w:r>
              <w:rPr>
                <w:szCs w:val="28"/>
              </w:rPr>
              <w:t>.</w:t>
            </w:r>
          </w:p>
          <w:p w:rsidR="0093613F" w:rsidRPr="00B938E3" w:rsidRDefault="0093613F" w:rsidP="0093613F">
            <w:pPr>
              <w:rPr>
                <w:sz w:val="10"/>
                <w:szCs w:val="10"/>
              </w:rPr>
            </w:pPr>
            <w:r w:rsidRPr="00FF2588">
              <w:t xml:space="preserve"> </w:t>
            </w:r>
            <w:r>
              <w:t xml:space="preserve"> </w:t>
            </w:r>
          </w:p>
          <w:p w:rsidR="00CF5EA5" w:rsidRPr="00AA67C7" w:rsidRDefault="00CF5EA5" w:rsidP="00CF5EA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r w:rsidR="006D3BF0" w:rsidRPr="006D3BF0">
              <w:rPr>
                <w:sz w:val="28"/>
                <w:szCs w:val="28"/>
              </w:rPr>
              <w:t>Белецкий Сергей Викторович</w:t>
            </w:r>
            <w:r w:rsidR="006D3BF0">
              <w:rPr>
                <w:sz w:val="28"/>
                <w:szCs w:val="28"/>
              </w:rPr>
              <w:t>, начальник управления жилищной политики администрации.</w:t>
            </w:r>
          </w:p>
          <w:p w:rsidR="00CF5EA5" w:rsidRPr="00F42722" w:rsidRDefault="00CF5EA5" w:rsidP="00AA67C7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CF5EA5" w:rsidRPr="00ED021E" w:rsidTr="00986850">
        <w:trPr>
          <w:trHeight w:val="1760"/>
        </w:trPr>
        <w:tc>
          <w:tcPr>
            <w:tcW w:w="1702" w:type="dxa"/>
          </w:tcPr>
          <w:p w:rsidR="00CF5EA5" w:rsidRPr="00A57547" w:rsidRDefault="006D3BF0" w:rsidP="003F15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0E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FA0E6A">
              <w:rPr>
                <w:sz w:val="28"/>
                <w:szCs w:val="28"/>
              </w:rPr>
              <w:t>55</w:t>
            </w:r>
            <w:r w:rsidR="00CF5EA5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11.0</w:t>
            </w:r>
            <w:r w:rsidR="00FA0E6A">
              <w:rPr>
                <w:sz w:val="28"/>
                <w:szCs w:val="28"/>
              </w:rPr>
              <w:t>0</w:t>
            </w:r>
          </w:p>
          <w:p w:rsidR="00CF5EA5" w:rsidRPr="00671D3A" w:rsidRDefault="00CF5EA5" w:rsidP="003F1508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5938BC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6D3BF0" w:rsidRPr="006D3BF0" w:rsidRDefault="006D3BF0" w:rsidP="006D3BF0">
            <w:pPr>
              <w:pStyle w:val="ad"/>
              <w:jc w:val="both"/>
              <w:rPr>
                <w:szCs w:val="28"/>
              </w:rPr>
            </w:pPr>
            <w:r w:rsidRPr="006D3BF0">
              <w:rPr>
                <w:szCs w:val="28"/>
              </w:rPr>
              <w:t xml:space="preserve">О внесении изменения в решение Думы Уссурийского городского округа от 31 марта 2011 года № 383-НПА "О </w:t>
            </w:r>
            <w:proofErr w:type="gramStart"/>
            <w:r w:rsidRPr="006D3BF0">
              <w:rPr>
                <w:szCs w:val="28"/>
              </w:rPr>
              <w:t>Положении</w:t>
            </w:r>
            <w:proofErr w:type="gramEnd"/>
            <w:r w:rsidRPr="006D3BF0">
              <w:rPr>
                <w:szCs w:val="28"/>
              </w:rPr>
              <w:t xml:space="preserve"> о порядке предоставления жилых помещений муниципального специализированного жилищного фонда </w:t>
            </w:r>
            <w:r>
              <w:rPr>
                <w:szCs w:val="28"/>
              </w:rPr>
              <w:t xml:space="preserve"> </w:t>
            </w:r>
            <w:r w:rsidRPr="006D3BF0">
              <w:rPr>
                <w:szCs w:val="28"/>
              </w:rPr>
              <w:t>Уссурийского городского округа"</w:t>
            </w:r>
            <w:r>
              <w:rPr>
                <w:szCs w:val="28"/>
              </w:rPr>
              <w:t>.</w:t>
            </w:r>
          </w:p>
          <w:p w:rsidR="00B938E3" w:rsidRPr="00B938E3" w:rsidRDefault="00B938E3" w:rsidP="00CF5EA5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986850" w:rsidRDefault="00CF5EA5" w:rsidP="003F1508">
            <w:pPr>
              <w:pStyle w:val="a3"/>
              <w:widowControl w:val="0"/>
              <w:rPr>
                <w:sz w:val="28"/>
                <w:szCs w:val="28"/>
              </w:rPr>
            </w:pPr>
            <w:r w:rsidRPr="00B20F93">
              <w:rPr>
                <w:sz w:val="28"/>
                <w:szCs w:val="28"/>
                <w:u w:val="single"/>
              </w:rPr>
              <w:t>Докладывает:</w:t>
            </w:r>
            <w:r w:rsidRPr="00B20F93">
              <w:rPr>
                <w:sz w:val="28"/>
                <w:szCs w:val="28"/>
              </w:rPr>
              <w:t xml:space="preserve"> </w:t>
            </w:r>
            <w:r w:rsidR="006D3BF0" w:rsidRPr="006D3BF0">
              <w:rPr>
                <w:sz w:val="28"/>
                <w:szCs w:val="28"/>
              </w:rPr>
              <w:t>Белецкий Сергей Викторович</w:t>
            </w:r>
            <w:r w:rsidR="006D3BF0">
              <w:rPr>
                <w:sz w:val="28"/>
                <w:szCs w:val="28"/>
              </w:rPr>
              <w:t>, начальник управления жилищной политики администрации.</w:t>
            </w:r>
          </w:p>
          <w:p w:rsidR="006D3BF0" w:rsidRPr="006D3BF0" w:rsidRDefault="006D3BF0" w:rsidP="003F1508">
            <w:pPr>
              <w:pStyle w:val="a3"/>
              <w:widowControl w:val="0"/>
              <w:rPr>
                <w:sz w:val="10"/>
                <w:szCs w:val="10"/>
              </w:rPr>
            </w:pPr>
          </w:p>
          <w:p w:rsidR="00A925F7" w:rsidRPr="00A925F7" w:rsidRDefault="00A925F7" w:rsidP="00AA67C7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B938E3" w:rsidRPr="00CF5EA5" w:rsidTr="00986850">
        <w:trPr>
          <w:trHeight w:val="1760"/>
        </w:trPr>
        <w:tc>
          <w:tcPr>
            <w:tcW w:w="1702" w:type="dxa"/>
          </w:tcPr>
          <w:p w:rsidR="00B938E3" w:rsidRPr="00A57547" w:rsidRDefault="006D3BF0" w:rsidP="003F15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</w:t>
            </w:r>
            <w:r w:rsidR="00FA0E6A">
              <w:rPr>
                <w:sz w:val="28"/>
                <w:szCs w:val="28"/>
              </w:rPr>
              <w:t>0</w:t>
            </w:r>
            <w:r w:rsidR="00B938E3" w:rsidRPr="00FF2A54">
              <w:rPr>
                <w:sz w:val="28"/>
                <w:szCs w:val="28"/>
              </w:rPr>
              <w:t>–</w:t>
            </w:r>
            <w:r w:rsidR="00B938E3">
              <w:rPr>
                <w:sz w:val="28"/>
                <w:szCs w:val="28"/>
              </w:rPr>
              <w:t>11.</w:t>
            </w:r>
            <w:r w:rsidR="00FA0E6A">
              <w:rPr>
                <w:sz w:val="28"/>
                <w:szCs w:val="28"/>
              </w:rPr>
              <w:t>05</w:t>
            </w: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AA67C7" w:rsidRDefault="00B938E3" w:rsidP="003F1508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"/>
          </w:tcPr>
          <w:p w:rsidR="00B30E99" w:rsidRPr="00B30E99" w:rsidRDefault="006D3BF0" w:rsidP="00B30E99">
            <w:pPr>
              <w:pStyle w:val="ad"/>
              <w:jc w:val="both"/>
              <w:rPr>
                <w:szCs w:val="28"/>
              </w:rPr>
            </w:pPr>
            <w:r w:rsidRPr="006D3BF0">
              <w:rPr>
                <w:szCs w:val="28"/>
              </w:rPr>
              <w:t>О внесении изменения в решение Думы Уссурийского городского</w:t>
            </w:r>
            <w:r>
              <w:rPr>
                <w:szCs w:val="28"/>
              </w:rPr>
              <w:t xml:space="preserve"> </w:t>
            </w:r>
            <w:r w:rsidRPr="006D3BF0">
              <w:rPr>
                <w:szCs w:val="28"/>
              </w:rPr>
              <w:t xml:space="preserve">округа от 7 марта 2013 года № 706-НПА "О </w:t>
            </w:r>
            <w:proofErr w:type="gramStart"/>
            <w:r w:rsidRPr="006D3BF0">
              <w:rPr>
                <w:szCs w:val="28"/>
              </w:rPr>
              <w:t>Положении</w:t>
            </w:r>
            <w:proofErr w:type="gramEnd"/>
            <w:r w:rsidRPr="006D3BF0">
              <w:rPr>
                <w:szCs w:val="28"/>
              </w:rPr>
              <w:t xml:space="preserve"> о жилищном фонде коммерческого использования Уссурийского городского округа"</w:t>
            </w:r>
            <w:r w:rsidR="00B30E99">
              <w:rPr>
                <w:szCs w:val="28"/>
              </w:rPr>
              <w:t>.</w:t>
            </w:r>
          </w:p>
          <w:p w:rsidR="00B938E3" w:rsidRPr="00B938E3" w:rsidRDefault="00B938E3" w:rsidP="003F1508">
            <w:pPr>
              <w:pStyle w:val="ad"/>
              <w:jc w:val="both"/>
              <w:rPr>
                <w:sz w:val="10"/>
                <w:szCs w:val="10"/>
              </w:rPr>
            </w:pPr>
          </w:p>
          <w:p w:rsidR="00B30E99" w:rsidRPr="00B20F93" w:rsidRDefault="00B30E99" w:rsidP="00B30E99">
            <w:pPr>
              <w:pStyle w:val="a3"/>
              <w:widowControl w:val="0"/>
              <w:rPr>
                <w:sz w:val="28"/>
                <w:szCs w:val="28"/>
              </w:rPr>
            </w:pPr>
            <w:r w:rsidRPr="00B20F93">
              <w:rPr>
                <w:sz w:val="28"/>
                <w:szCs w:val="28"/>
                <w:u w:val="single"/>
              </w:rPr>
              <w:t>Докладывает:</w:t>
            </w:r>
            <w:r w:rsidRPr="00B20F93">
              <w:rPr>
                <w:sz w:val="28"/>
                <w:szCs w:val="28"/>
              </w:rPr>
              <w:t xml:space="preserve"> </w:t>
            </w:r>
            <w:r w:rsidR="006D3BF0" w:rsidRPr="006D3BF0">
              <w:rPr>
                <w:sz w:val="28"/>
                <w:szCs w:val="28"/>
              </w:rPr>
              <w:t>Белецкий Сергей Викторович</w:t>
            </w:r>
            <w:r w:rsidR="006D3BF0">
              <w:rPr>
                <w:sz w:val="28"/>
                <w:szCs w:val="28"/>
              </w:rPr>
              <w:t>, начальник управления жилищной политики администрации.</w:t>
            </w:r>
          </w:p>
          <w:p w:rsidR="00B938E3" w:rsidRPr="00F42722" w:rsidRDefault="00B938E3" w:rsidP="00AA67C7">
            <w:pPr>
              <w:pStyle w:val="ad"/>
              <w:jc w:val="both"/>
              <w:rPr>
                <w:sz w:val="16"/>
                <w:szCs w:val="16"/>
              </w:rPr>
            </w:pPr>
          </w:p>
        </w:tc>
      </w:tr>
      <w:tr w:rsidR="006D3BF0" w:rsidRPr="00F42722" w:rsidTr="006D3BF0">
        <w:trPr>
          <w:trHeight w:val="1760"/>
        </w:trPr>
        <w:tc>
          <w:tcPr>
            <w:tcW w:w="1702" w:type="dxa"/>
          </w:tcPr>
          <w:p w:rsidR="006D3BF0" w:rsidRPr="00A57547" w:rsidRDefault="006D3BF0" w:rsidP="009843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A0E6A">
              <w:rPr>
                <w:sz w:val="28"/>
                <w:szCs w:val="28"/>
              </w:rPr>
              <w:t>05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11.1</w:t>
            </w:r>
            <w:r w:rsidR="00FA0E6A">
              <w:rPr>
                <w:sz w:val="28"/>
                <w:szCs w:val="28"/>
              </w:rPr>
              <w:t>0</w:t>
            </w:r>
          </w:p>
          <w:p w:rsidR="006D3BF0" w:rsidRPr="00671D3A" w:rsidRDefault="006D3BF0" w:rsidP="00984388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5</w:t>
            </w:r>
          </w:p>
          <w:p w:rsidR="006D3BF0" w:rsidRPr="00671D3A" w:rsidRDefault="006D3BF0" w:rsidP="0098438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3BF0" w:rsidRPr="00671D3A" w:rsidRDefault="006D3BF0" w:rsidP="0098438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D3BF0" w:rsidRPr="005938BC" w:rsidRDefault="006D3BF0" w:rsidP="009843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6D3BF0" w:rsidRDefault="006D3BF0" w:rsidP="006D3BF0">
            <w:pPr>
              <w:pStyle w:val="ad"/>
              <w:jc w:val="both"/>
              <w:rPr>
                <w:szCs w:val="28"/>
              </w:rPr>
            </w:pPr>
            <w:r w:rsidRPr="006D3BF0">
              <w:rPr>
                <w:szCs w:val="28"/>
              </w:rPr>
              <w:t>О плане работы постоянной комиссии по благоустройству, градостроительству, экологии и коммунальному хозяйству на II квартал 2024 года</w:t>
            </w:r>
            <w:r>
              <w:rPr>
                <w:szCs w:val="28"/>
              </w:rPr>
              <w:t>.</w:t>
            </w:r>
          </w:p>
          <w:p w:rsidR="008A4438" w:rsidRPr="008A4438" w:rsidRDefault="008A4438" w:rsidP="006D3BF0">
            <w:pPr>
              <w:pStyle w:val="ad"/>
              <w:jc w:val="both"/>
              <w:rPr>
                <w:sz w:val="10"/>
                <w:szCs w:val="10"/>
              </w:rPr>
            </w:pPr>
          </w:p>
          <w:p w:rsidR="006D3BF0" w:rsidRDefault="006D3BF0" w:rsidP="006D3BF0">
            <w:pPr>
              <w:pStyle w:val="a3"/>
              <w:widowControl w:val="0"/>
              <w:rPr>
                <w:sz w:val="28"/>
                <w:szCs w:val="28"/>
              </w:rPr>
            </w:pPr>
            <w:r w:rsidRPr="006D3BF0">
              <w:rPr>
                <w:sz w:val="28"/>
                <w:szCs w:val="28"/>
                <w:u w:val="single"/>
              </w:rPr>
              <w:t>Докладывает:</w:t>
            </w:r>
            <w:r w:rsidRPr="00B20F93">
              <w:rPr>
                <w:sz w:val="28"/>
                <w:szCs w:val="28"/>
              </w:rPr>
              <w:t xml:space="preserve">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6D3BF0" w:rsidRPr="006D3BF0" w:rsidRDefault="006D3BF0" w:rsidP="006D3BF0">
            <w:pPr>
              <w:pStyle w:val="ad"/>
              <w:jc w:val="both"/>
              <w:rPr>
                <w:szCs w:val="28"/>
              </w:rPr>
            </w:pPr>
          </w:p>
        </w:tc>
      </w:tr>
    </w:tbl>
    <w:p w:rsidR="006D3BF0" w:rsidRDefault="006D3BF0" w:rsidP="00C27C5D">
      <w:pPr>
        <w:rPr>
          <w:sz w:val="28"/>
          <w:szCs w:val="28"/>
        </w:rPr>
      </w:pPr>
    </w:p>
    <w:p w:rsidR="008A4438" w:rsidRPr="0093613F" w:rsidRDefault="008A4438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5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986850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Default="00C27C5D"/>
    <w:sectPr w:rsidR="00C27C5D" w:rsidSect="00986850">
      <w:headerReference w:type="default" r:id="rId6"/>
      <w:pgSz w:w="11906" w:h="16838"/>
      <w:pgMar w:top="709" w:right="851" w:bottom="249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99" w:rsidRDefault="005B6F99" w:rsidP="00B64EB1">
      <w:r>
        <w:separator/>
      </w:r>
    </w:p>
  </w:endnote>
  <w:endnote w:type="continuationSeparator" w:id="0">
    <w:p w:rsidR="005B6F99" w:rsidRDefault="005B6F99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99" w:rsidRDefault="005B6F99" w:rsidP="00B64EB1">
      <w:r>
        <w:separator/>
      </w:r>
    </w:p>
  </w:footnote>
  <w:footnote w:type="continuationSeparator" w:id="0">
    <w:p w:rsidR="005B6F99" w:rsidRDefault="005B6F99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2301C" w:rsidRPr="00614033" w:rsidRDefault="004F1E6E" w:rsidP="00A925F7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12301C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FA0E6A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53BF"/>
    <w:rsid w:val="00025709"/>
    <w:rsid w:val="0002614D"/>
    <w:rsid w:val="000407CA"/>
    <w:rsid w:val="000844B8"/>
    <w:rsid w:val="000A012B"/>
    <w:rsid w:val="000C0A4F"/>
    <w:rsid w:val="000D2F20"/>
    <w:rsid w:val="000E18C3"/>
    <w:rsid w:val="000F36C6"/>
    <w:rsid w:val="00110713"/>
    <w:rsid w:val="00115111"/>
    <w:rsid w:val="0012301C"/>
    <w:rsid w:val="00137F77"/>
    <w:rsid w:val="001522D7"/>
    <w:rsid w:val="00176CC8"/>
    <w:rsid w:val="00177433"/>
    <w:rsid w:val="0018582A"/>
    <w:rsid w:val="00193BAC"/>
    <w:rsid w:val="00195DD3"/>
    <w:rsid w:val="001A11D9"/>
    <w:rsid w:val="001B0442"/>
    <w:rsid w:val="001B0595"/>
    <w:rsid w:val="001B628F"/>
    <w:rsid w:val="001B6EA9"/>
    <w:rsid w:val="001C02E8"/>
    <w:rsid w:val="001C312C"/>
    <w:rsid w:val="001D512C"/>
    <w:rsid w:val="001D5FC9"/>
    <w:rsid w:val="001E34DD"/>
    <w:rsid w:val="002034F8"/>
    <w:rsid w:val="0020375D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66187"/>
    <w:rsid w:val="00272406"/>
    <w:rsid w:val="002D06BE"/>
    <w:rsid w:val="002D0C85"/>
    <w:rsid w:val="002D7AEE"/>
    <w:rsid w:val="002E1258"/>
    <w:rsid w:val="003065C3"/>
    <w:rsid w:val="003067B5"/>
    <w:rsid w:val="003264A9"/>
    <w:rsid w:val="00332AA3"/>
    <w:rsid w:val="00334F3B"/>
    <w:rsid w:val="00340C91"/>
    <w:rsid w:val="00353B08"/>
    <w:rsid w:val="00355B95"/>
    <w:rsid w:val="0037519C"/>
    <w:rsid w:val="003B4F3F"/>
    <w:rsid w:val="003D720B"/>
    <w:rsid w:val="003E66AA"/>
    <w:rsid w:val="003F1048"/>
    <w:rsid w:val="003F3AEE"/>
    <w:rsid w:val="003F6F3D"/>
    <w:rsid w:val="00410B13"/>
    <w:rsid w:val="004202DC"/>
    <w:rsid w:val="00424153"/>
    <w:rsid w:val="004451C1"/>
    <w:rsid w:val="00452936"/>
    <w:rsid w:val="00484848"/>
    <w:rsid w:val="0049355D"/>
    <w:rsid w:val="004B248B"/>
    <w:rsid w:val="004B47FC"/>
    <w:rsid w:val="004B488C"/>
    <w:rsid w:val="004C4A3D"/>
    <w:rsid w:val="004C5CB4"/>
    <w:rsid w:val="004D3A4D"/>
    <w:rsid w:val="004D3D48"/>
    <w:rsid w:val="004E7A4C"/>
    <w:rsid w:val="004F1E6E"/>
    <w:rsid w:val="004F7C93"/>
    <w:rsid w:val="005077A9"/>
    <w:rsid w:val="00510DFB"/>
    <w:rsid w:val="0052022F"/>
    <w:rsid w:val="0052117A"/>
    <w:rsid w:val="00524805"/>
    <w:rsid w:val="00526936"/>
    <w:rsid w:val="00543290"/>
    <w:rsid w:val="00551330"/>
    <w:rsid w:val="00551ACD"/>
    <w:rsid w:val="00565D0C"/>
    <w:rsid w:val="00571E07"/>
    <w:rsid w:val="005805C5"/>
    <w:rsid w:val="00591FB3"/>
    <w:rsid w:val="005938BC"/>
    <w:rsid w:val="00596A74"/>
    <w:rsid w:val="005B2B5F"/>
    <w:rsid w:val="005B6F99"/>
    <w:rsid w:val="005B7DA3"/>
    <w:rsid w:val="005D3B1B"/>
    <w:rsid w:val="005D44BB"/>
    <w:rsid w:val="005D4A51"/>
    <w:rsid w:val="005E23E1"/>
    <w:rsid w:val="005E67C6"/>
    <w:rsid w:val="005F1611"/>
    <w:rsid w:val="005F52B0"/>
    <w:rsid w:val="00613098"/>
    <w:rsid w:val="00614033"/>
    <w:rsid w:val="00622853"/>
    <w:rsid w:val="00622A60"/>
    <w:rsid w:val="00632291"/>
    <w:rsid w:val="006471BE"/>
    <w:rsid w:val="00647576"/>
    <w:rsid w:val="0066569C"/>
    <w:rsid w:val="00666B6C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B7EA7"/>
    <w:rsid w:val="006C786D"/>
    <w:rsid w:val="006D3BF0"/>
    <w:rsid w:val="006D513D"/>
    <w:rsid w:val="006D5233"/>
    <w:rsid w:val="006E688F"/>
    <w:rsid w:val="006F7EE8"/>
    <w:rsid w:val="0070105D"/>
    <w:rsid w:val="00701FFA"/>
    <w:rsid w:val="00711EE1"/>
    <w:rsid w:val="0072669E"/>
    <w:rsid w:val="00734B42"/>
    <w:rsid w:val="00745A2A"/>
    <w:rsid w:val="007502E8"/>
    <w:rsid w:val="00752987"/>
    <w:rsid w:val="00756893"/>
    <w:rsid w:val="00760D68"/>
    <w:rsid w:val="00767EB8"/>
    <w:rsid w:val="007876C3"/>
    <w:rsid w:val="007935E7"/>
    <w:rsid w:val="007A7BCE"/>
    <w:rsid w:val="007A7CDB"/>
    <w:rsid w:val="007B0ED4"/>
    <w:rsid w:val="007E26C3"/>
    <w:rsid w:val="007F01BD"/>
    <w:rsid w:val="0081566D"/>
    <w:rsid w:val="0082046E"/>
    <w:rsid w:val="008272C5"/>
    <w:rsid w:val="00837141"/>
    <w:rsid w:val="008678F1"/>
    <w:rsid w:val="00887168"/>
    <w:rsid w:val="00891BEE"/>
    <w:rsid w:val="00893F28"/>
    <w:rsid w:val="008A2D07"/>
    <w:rsid w:val="008A4438"/>
    <w:rsid w:val="008C5DA1"/>
    <w:rsid w:val="008F0061"/>
    <w:rsid w:val="008F22D0"/>
    <w:rsid w:val="008F59F8"/>
    <w:rsid w:val="00902B9C"/>
    <w:rsid w:val="009148B1"/>
    <w:rsid w:val="0093613F"/>
    <w:rsid w:val="00960C52"/>
    <w:rsid w:val="00964239"/>
    <w:rsid w:val="0097595E"/>
    <w:rsid w:val="0098292F"/>
    <w:rsid w:val="00986850"/>
    <w:rsid w:val="009A0CCE"/>
    <w:rsid w:val="009A1E28"/>
    <w:rsid w:val="009C497C"/>
    <w:rsid w:val="009D6673"/>
    <w:rsid w:val="009E0B74"/>
    <w:rsid w:val="009F048E"/>
    <w:rsid w:val="00A055F4"/>
    <w:rsid w:val="00A0692D"/>
    <w:rsid w:val="00A070E6"/>
    <w:rsid w:val="00A11533"/>
    <w:rsid w:val="00A164EC"/>
    <w:rsid w:val="00A24BCE"/>
    <w:rsid w:val="00A52089"/>
    <w:rsid w:val="00A57C62"/>
    <w:rsid w:val="00A84773"/>
    <w:rsid w:val="00A87AFB"/>
    <w:rsid w:val="00A925F7"/>
    <w:rsid w:val="00AA67C7"/>
    <w:rsid w:val="00AC2030"/>
    <w:rsid w:val="00AE1E19"/>
    <w:rsid w:val="00AE351D"/>
    <w:rsid w:val="00AE4012"/>
    <w:rsid w:val="00B03440"/>
    <w:rsid w:val="00B03F06"/>
    <w:rsid w:val="00B14B77"/>
    <w:rsid w:val="00B20F93"/>
    <w:rsid w:val="00B270D8"/>
    <w:rsid w:val="00B30E99"/>
    <w:rsid w:val="00B326A4"/>
    <w:rsid w:val="00B35BCB"/>
    <w:rsid w:val="00B3732C"/>
    <w:rsid w:val="00B410A1"/>
    <w:rsid w:val="00B413F5"/>
    <w:rsid w:val="00B46C72"/>
    <w:rsid w:val="00B573D4"/>
    <w:rsid w:val="00B64EB1"/>
    <w:rsid w:val="00B67386"/>
    <w:rsid w:val="00B7140C"/>
    <w:rsid w:val="00B938E3"/>
    <w:rsid w:val="00B93BAC"/>
    <w:rsid w:val="00B97382"/>
    <w:rsid w:val="00BE0B1A"/>
    <w:rsid w:val="00BE5655"/>
    <w:rsid w:val="00BE6B44"/>
    <w:rsid w:val="00BF1856"/>
    <w:rsid w:val="00BF6165"/>
    <w:rsid w:val="00C27599"/>
    <w:rsid w:val="00C27C5D"/>
    <w:rsid w:val="00C51C96"/>
    <w:rsid w:val="00C7159F"/>
    <w:rsid w:val="00C748FC"/>
    <w:rsid w:val="00C76592"/>
    <w:rsid w:val="00CB2550"/>
    <w:rsid w:val="00CB5AD8"/>
    <w:rsid w:val="00CC797E"/>
    <w:rsid w:val="00CD60CE"/>
    <w:rsid w:val="00CF28B0"/>
    <w:rsid w:val="00CF5EA5"/>
    <w:rsid w:val="00CF6514"/>
    <w:rsid w:val="00D11C0D"/>
    <w:rsid w:val="00D30B80"/>
    <w:rsid w:val="00D53BB7"/>
    <w:rsid w:val="00D54534"/>
    <w:rsid w:val="00D54B15"/>
    <w:rsid w:val="00D6423C"/>
    <w:rsid w:val="00D74BAB"/>
    <w:rsid w:val="00D753A2"/>
    <w:rsid w:val="00D76644"/>
    <w:rsid w:val="00D8021F"/>
    <w:rsid w:val="00D90DC3"/>
    <w:rsid w:val="00DA4C2D"/>
    <w:rsid w:val="00DA764E"/>
    <w:rsid w:val="00DB78CD"/>
    <w:rsid w:val="00DC10F6"/>
    <w:rsid w:val="00DE1AC4"/>
    <w:rsid w:val="00DF0669"/>
    <w:rsid w:val="00DF1C26"/>
    <w:rsid w:val="00DF6F62"/>
    <w:rsid w:val="00E0458D"/>
    <w:rsid w:val="00E04E31"/>
    <w:rsid w:val="00E12FE2"/>
    <w:rsid w:val="00E158E2"/>
    <w:rsid w:val="00E15907"/>
    <w:rsid w:val="00E16156"/>
    <w:rsid w:val="00E30F1D"/>
    <w:rsid w:val="00E31564"/>
    <w:rsid w:val="00E35FE9"/>
    <w:rsid w:val="00E42D47"/>
    <w:rsid w:val="00E62799"/>
    <w:rsid w:val="00E77150"/>
    <w:rsid w:val="00E84920"/>
    <w:rsid w:val="00E90086"/>
    <w:rsid w:val="00E91D47"/>
    <w:rsid w:val="00EB4428"/>
    <w:rsid w:val="00EB7CE7"/>
    <w:rsid w:val="00EC1E4A"/>
    <w:rsid w:val="00EC35C5"/>
    <w:rsid w:val="00ED021E"/>
    <w:rsid w:val="00EE319F"/>
    <w:rsid w:val="00EF447E"/>
    <w:rsid w:val="00F035DF"/>
    <w:rsid w:val="00F33C4F"/>
    <w:rsid w:val="00F42722"/>
    <w:rsid w:val="00F6729C"/>
    <w:rsid w:val="00F756A7"/>
    <w:rsid w:val="00F82809"/>
    <w:rsid w:val="00F8693C"/>
    <w:rsid w:val="00F87D5F"/>
    <w:rsid w:val="00F9474C"/>
    <w:rsid w:val="00FA0E6A"/>
    <w:rsid w:val="00FB0ADE"/>
    <w:rsid w:val="00FC749B"/>
    <w:rsid w:val="00FC7698"/>
    <w:rsid w:val="00FD6642"/>
    <w:rsid w:val="00FE0086"/>
    <w:rsid w:val="00FF1D4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Деловой Шапка"/>
    <w:basedOn w:val="a"/>
    <w:qFormat/>
    <w:rsid w:val="00E0458D"/>
    <w:pPr>
      <w:jc w:val="center"/>
    </w:pPr>
    <w:rPr>
      <w:sz w:val="28"/>
    </w:rPr>
  </w:style>
  <w:style w:type="character" w:styleId="ae">
    <w:name w:val="Emphasis"/>
    <w:basedOn w:val="a0"/>
    <w:uiPriority w:val="20"/>
    <w:qFormat/>
    <w:rsid w:val="00A925F7"/>
    <w:rPr>
      <w:i/>
      <w:iCs/>
    </w:rPr>
  </w:style>
  <w:style w:type="paragraph" w:styleId="af">
    <w:name w:val="Title"/>
    <w:basedOn w:val="a"/>
    <w:link w:val="af0"/>
    <w:qFormat/>
    <w:rsid w:val="00AA67C7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AA67C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28</cp:revision>
  <cp:lastPrinted>2024-03-15T01:42:00Z</cp:lastPrinted>
  <dcterms:created xsi:type="dcterms:W3CDTF">2023-07-17T00:24:00Z</dcterms:created>
  <dcterms:modified xsi:type="dcterms:W3CDTF">2024-03-15T02:49:00Z</dcterms:modified>
</cp:coreProperties>
</file>