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674" w:rsidRDefault="00B84BB0">
      <w:pPr>
        <w:ind w:right="-2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in;visibility:visible;mso-wrap-style:square">
            <v:imagedata r:id="rId6" o:title=""/>
          </v:shape>
        </w:pict>
      </w:r>
    </w:p>
    <w:p w:rsidR="00295674" w:rsidRDefault="00295674">
      <w:pPr>
        <w:ind w:right="-22"/>
        <w:jc w:val="center"/>
        <w:rPr>
          <w:sz w:val="28"/>
          <w:szCs w:val="28"/>
        </w:rPr>
      </w:pPr>
    </w:p>
    <w:p w:rsidR="00295674" w:rsidRDefault="008E5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295674" w:rsidRDefault="008E5CCC">
      <w:pPr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295674" w:rsidRDefault="008E5CCC">
      <w:pPr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295674" w:rsidRDefault="00295674">
      <w:pPr>
        <w:ind w:firstLine="672"/>
        <w:jc w:val="right"/>
        <w:rPr>
          <w:b/>
          <w:sz w:val="28"/>
          <w:szCs w:val="28"/>
        </w:rPr>
      </w:pPr>
    </w:p>
    <w:p w:rsidR="00295674" w:rsidRDefault="008E5CCC" w:rsidP="006D6D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295674" w:rsidRDefault="00295674">
      <w:pPr>
        <w:jc w:val="both"/>
        <w:rPr>
          <w:b/>
          <w:sz w:val="28"/>
          <w:szCs w:val="28"/>
        </w:rPr>
      </w:pPr>
    </w:p>
    <w:p w:rsidR="00F541FF" w:rsidRDefault="008E5CCC" w:rsidP="00F541FF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F541FF">
        <w:rPr>
          <w:sz w:val="28"/>
          <w:szCs w:val="28"/>
        </w:rPr>
        <w:t>24.12.2024</w:t>
      </w:r>
      <w:r w:rsidR="00F541FF" w:rsidRPr="00F541FF">
        <w:rPr>
          <w:sz w:val="28"/>
          <w:szCs w:val="28"/>
        </w:rPr>
        <w:t xml:space="preserve"> </w:t>
      </w:r>
      <w:r w:rsidR="00F541FF">
        <w:rPr>
          <w:sz w:val="28"/>
          <w:szCs w:val="28"/>
        </w:rPr>
        <w:t xml:space="preserve">                                 </w:t>
      </w:r>
      <w:r w:rsidR="00F97716">
        <w:rPr>
          <w:sz w:val="28"/>
          <w:szCs w:val="28"/>
        </w:rPr>
        <w:t xml:space="preserve"> </w:t>
      </w:r>
      <w:r w:rsidR="00F541FF">
        <w:rPr>
          <w:sz w:val="28"/>
          <w:szCs w:val="28"/>
        </w:rPr>
        <w:t xml:space="preserve">г. Уссурийск                                 № </w:t>
      </w:r>
      <w:r w:rsidR="00F97716" w:rsidRPr="00F97716">
        <w:rPr>
          <w:sz w:val="28"/>
          <w:szCs w:val="28"/>
        </w:rPr>
        <w:t>124</w:t>
      </w:r>
      <w:r w:rsidR="007A2B59">
        <w:rPr>
          <w:sz w:val="28"/>
          <w:szCs w:val="28"/>
        </w:rPr>
        <w:t xml:space="preserve"> </w:t>
      </w:r>
      <w:r w:rsidR="00F541FF">
        <w:rPr>
          <w:sz w:val="28"/>
          <w:szCs w:val="28"/>
        </w:rPr>
        <w:t>- НПА</w:t>
      </w:r>
    </w:p>
    <w:p w:rsidR="00295674" w:rsidRDefault="00295674">
      <w:pPr>
        <w:ind w:firstLine="672"/>
        <w:jc w:val="both"/>
        <w:rPr>
          <w:b/>
          <w:sz w:val="28"/>
          <w:szCs w:val="28"/>
        </w:rPr>
      </w:pPr>
    </w:p>
    <w:p w:rsidR="00295674" w:rsidRDefault="00295674">
      <w:pPr>
        <w:ind w:firstLine="672"/>
        <w:jc w:val="both"/>
        <w:rPr>
          <w:b/>
          <w:sz w:val="28"/>
          <w:szCs w:val="28"/>
        </w:rPr>
      </w:pPr>
    </w:p>
    <w:p w:rsidR="00295674" w:rsidRDefault="008E5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от 19 декабря 2023 года № 987–НПА "</w:t>
      </w:r>
      <w:r>
        <w:rPr>
          <w:b/>
          <w:bCs/>
          <w:sz w:val="28"/>
          <w:szCs w:val="28"/>
        </w:rPr>
        <w:t>О бюджете Уссурийского городского округа на 2024 год и плановый период 2025 и 2026 годов</w:t>
      </w:r>
      <w:r>
        <w:rPr>
          <w:b/>
          <w:sz w:val="28"/>
          <w:szCs w:val="28"/>
        </w:rPr>
        <w:t>"</w:t>
      </w:r>
    </w:p>
    <w:p w:rsidR="00295674" w:rsidRDefault="00295674">
      <w:pPr>
        <w:ind w:firstLine="672"/>
        <w:jc w:val="center"/>
        <w:rPr>
          <w:sz w:val="28"/>
          <w:szCs w:val="28"/>
        </w:rPr>
      </w:pPr>
    </w:p>
    <w:p w:rsidR="00295674" w:rsidRDefault="00295674">
      <w:pPr>
        <w:ind w:firstLine="672"/>
        <w:jc w:val="center"/>
        <w:rPr>
          <w:sz w:val="28"/>
          <w:szCs w:val="28"/>
        </w:rPr>
      </w:pPr>
    </w:p>
    <w:p w:rsidR="00295674" w:rsidRDefault="008E5CCC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295674" w:rsidRDefault="00295674">
      <w:pPr>
        <w:ind w:firstLine="672"/>
        <w:jc w:val="both"/>
        <w:rPr>
          <w:sz w:val="28"/>
          <w:szCs w:val="28"/>
        </w:rPr>
      </w:pPr>
    </w:p>
    <w:p w:rsidR="00295674" w:rsidRDefault="008E5CC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295674" w:rsidRDefault="00295674">
      <w:pPr>
        <w:ind w:firstLine="672"/>
        <w:jc w:val="both"/>
        <w:rPr>
          <w:sz w:val="28"/>
          <w:szCs w:val="28"/>
        </w:rPr>
      </w:pPr>
    </w:p>
    <w:p w:rsidR="00295674" w:rsidRDefault="008E5CCC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br/>
        <w:t>от 19 декабря 2023 года № 987–НПА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2024 год и плановый период 2025 и 2026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295674" w:rsidRDefault="008E5CCC">
      <w:pPr>
        <w:ind w:firstLine="672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  Подпункты 1.1, 1.2, 1.6 пункта 1 изложить в следующей редакции:</w:t>
      </w:r>
    </w:p>
    <w:p w:rsidR="00295674" w:rsidRDefault="008E5CCC">
      <w:pPr>
        <w:ind w:firstLine="672"/>
        <w:jc w:val="both"/>
        <w:rPr>
          <w:highlight w:val="white"/>
        </w:rPr>
      </w:pPr>
      <w:r>
        <w:rPr>
          <w:sz w:val="28"/>
          <w:szCs w:val="28"/>
        </w:rPr>
        <w:t xml:space="preserve">"1.1. 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sz w:val="28"/>
          <w:szCs w:val="28"/>
        </w:rPr>
        <w:t>в сумме 9 727 845 852,85 рублей, в том числе объем межбюджетных трансфертов, получаемых</w:t>
      </w:r>
      <w:r>
        <w:rPr>
          <w:sz w:val="28"/>
          <w:szCs w:val="28"/>
          <w:highlight w:val="white"/>
        </w:rPr>
        <w:t xml:space="preserve"> из других бюджетов бюджетной системы Российской Федерации, в сумме </w:t>
      </w:r>
      <w:r>
        <w:rPr>
          <w:color w:val="000000"/>
          <w:sz w:val="28"/>
          <w:szCs w:val="28"/>
          <w:highlight w:val="white"/>
        </w:rPr>
        <w:t xml:space="preserve">  6 185 243 809,22 </w:t>
      </w:r>
      <w:r>
        <w:rPr>
          <w:sz w:val="28"/>
          <w:szCs w:val="28"/>
          <w:highlight w:val="white"/>
        </w:rPr>
        <w:t>рублей;</w:t>
      </w:r>
    </w:p>
    <w:p w:rsidR="00295674" w:rsidRDefault="008E5CCC">
      <w:pPr>
        <w:ind w:firstLine="68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sz w:val="28"/>
          <w:szCs w:val="28"/>
          <w:highlight w:val="white"/>
        </w:rPr>
        <w:t>в сумме 10 575 542 164,18 рублей;</w:t>
      </w:r>
    </w:p>
    <w:p w:rsidR="00295674" w:rsidRDefault="008E5C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>
        <w:rPr>
          <w:color w:val="000000"/>
          <w:sz w:val="28"/>
          <w:szCs w:val="28"/>
        </w:rPr>
        <w:t>Предельный объем расходов на обслуживание муниципального долга в сумме 39 110,06 рублей</w:t>
      </w:r>
      <w:r>
        <w:rPr>
          <w:sz w:val="28"/>
          <w:szCs w:val="28"/>
          <w:highlight w:val="white"/>
        </w:rPr>
        <w:t>";</w:t>
      </w:r>
    </w:p>
    <w:p w:rsidR="00295674" w:rsidRDefault="008E5CCC">
      <w:pPr>
        <w:ind w:firstLine="672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1.2. </w:t>
      </w:r>
      <w:r>
        <w:rPr>
          <w:bCs/>
          <w:sz w:val="28"/>
          <w:szCs w:val="28"/>
          <w:highlight w:val="white"/>
        </w:rPr>
        <w:t>Пункт 2 изложить в следующей редакции:</w:t>
      </w:r>
    </w:p>
    <w:p w:rsidR="00295674" w:rsidRDefault="008E5CCC">
      <w:pPr>
        <w:ind w:firstLine="672"/>
        <w:jc w:val="both"/>
      </w:pP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  <w:highlight w:val="white"/>
        </w:rPr>
        <w:t xml:space="preserve">2.1. Прогнозируемый 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2025 год в сумме 10 021 978 794,35 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color w:val="000000"/>
          <w:sz w:val="28"/>
          <w:szCs w:val="28"/>
          <w:highlight w:val="white"/>
        </w:rPr>
        <w:br/>
        <w:t xml:space="preserve">6 370 207 609,00 рублей и на 2026 год в сумме 8 730 202 901,39 рублей, в том </w:t>
      </w:r>
      <w:r>
        <w:rPr>
          <w:color w:val="000000"/>
          <w:sz w:val="28"/>
          <w:szCs w:val="28"/>
          <w:highlight w:val="white"/>
        </w:rPr>
        <w:lastRenderedPageBreak/>
        <w:t>числе объем межбюджетных трансфертов, получаемых из других бюджетов бюджетной системы Российской Федерации в сумме 5 797 003 639,39 рублей;</w:t>
      </w:r>
      <w:r>
        <w:rPr>
          <w:color w:val="000000"/>
          <w:sz w:val="28"/>
          <w:szCs w:val="28"/>
          <w:highlight w:val="white"/>
        </w:rPr>
        <w:br/>
      </w:r>
      <w:r>
        <w:rPr>
          <w:color w:val="000000"/>
          <w:sz w:val="28"/>
          <w:szCs w:val="28"/>
          <w:highlight w:val="white"/>
        </w:rPr>
        <w:tab/>
        <w:t xml:space="preserve">2.2. 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>на 2025 год в сумме 10 195 805 794,35 рублей, в том числе условно утвержденные расходы в сумме 102 999 000,00 рублей, и на 2026 год в сумме 8 909 121 901,39 рублей, в том числе условно утвержденные расходы в сумме 201 495 363,69 рублей;</w:t>
      </w:r>
    </w:p>
    <w:p w:rsidR="00295674" w:rsidRDefault="008E5CCC">
      <w:pPr>
        <w:ind w:firstLine="672"/>
        <w:jc w:val="both"/>
      </w:pPr>
      <w:r>
        <w:rPr>
          <w:color w:val="000000"/>
          <w:sz w:val="28"/>
          <w:szCs w:val="28"/>
          <w:highlight w:val="white"/>
        </w:rPr>
        <w:t xml:space="preserve">2.3. Размер дефицита бюджета Уссурийского городского округа на 2025 год в сумме 173 827 000,00 рублей, размер дефицита бюджета Уссурийского городского округа </w:t>
      </w:r>
      <w:r>
        <w:rPr>
          <w:bCs/>
          <w:sz w:val="28"/>
          <w:szCs w:val="28"/>
        </w:rPr>
        <w:t>Приморского края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white"/>
        </w:rPr>
        <w:t>на 2026 год в сумме 178 919 000,00 рублей;</w:t>
      </w:r>
    </w:p>
    <w:p w:rsidR="00295674" w:rsidRDefault="008E5CCC">
      <w:pPr>
        <w:ind w:firstLine="672"/>
        <w:jc w:val="both"/>
      </w:pPr>
      <w:r>
        <w:rPr>
          <w:color w:val="000000"/>
          <w:sz w:val="28"/>
          <w:szCs w:val="28"/>
          <w:highlight w:val="white"/>
        </w:rPr>
        <w:t xml:space="preserve">2.4. Предельный объем муниципального долга Уссурийского городского округа </w:t>
      </w:r>
      <w:r>
        <w:rPr>
          <w:bCs/>
          <w:sz w:val="28"/>
          <w:szCs w:val="28"/>
        </w:rPr>
        <w:t>Приморского края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white"/>
        </w:rPr>
        <w:t>на 2025 год в сумме 264 309 321,34 рублей; верхний предел муниципального долга на 1 января 2026 года в сумме 173 827 000,00 рублей, в том числе верхний предел долга по муниципальным гарантиям 0,00 рублей;</w:t>
      </w:r>
    </w:p>
    <w:p w:rsidR="00295674" w:rsidRDefault="008E5CCC">
      <w:pPr>
        <w:ind w:firstLine="672"/>
        <w:jc w:val="both"/>
      </w:pPr>
      <w:r>
        <w:rPr>
          <w:color w:val="000000"/>
          <w:sz w:val="28"/>
          <w:szCs w:val="28"/>
          <w:highlight w:val="white"/>
        </w:rPr>
        <w:t xml:space="preserve">2.5. Предельный объем муниципального долга Уссурийского городского округа </w:t>
      </w:r>
      <w:r>
        <w:rPr>
          <w:bCs/>
          <w:sz w:val="28"/>
          <w:szCs w:val="28"/>
        </w:rPr>
        <w:t>Приморского края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white"/>
        </w:rPr>
        <w:t>на 2026 год в сумме 500 228 321,34 рублей, верхний предел муниципального долга на 1 января 2027 года в сумме 178 919 000,00 рублей, в том числе верхний предел долга по муниципальным гарантиям 0,00 рублей;</w:t>
      </w:r>
    </w:p>
    <w:p w:rsidR="00295674" w:rsidRDefault="008E5CCC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2.6. Предельный объем расходов на обслуживание муниципального долга на 2025 год в сумме 2 313 040,89 рублей и на 2026 год в сумме 0,00 рублей.</w:t>
      </w: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</w:rPr>
        <w:t>;</w:t>
      </w:r>
    </w:p>
    <w:p w:rsidR="00295674" w:rsidRDefault="008E5CCC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1.3. </w:t>
      </w:r>
      <w:r>
        <w:rPr>
          <w:bCs/>
          <w:sz w:val="28"/>
          <w:szCs w:val="28"/>
          <w:highlight w:val="white"/>
        </w:rPr>
        <w:t xml:space="preserve">В подпункте 3.2 пункта </w:t>
      </w:r>
      <w:r>
        <w:rPr>
          <w:sz w:val="28"/>
          <w:szCs w:val="28"/>
          <w:highlight w:val="white"/>
        </w:rPr>
        <w:t>3</w:t>
      </w:r>
      <w:r>
        <w:rPr>
          <w:bCs/>
          <w:color w:val="000000"/>
          <w:sz w:val="28"/>
          <w:szCs w:val="28"/>
          <w:highlight w:val="white"/>
        </w:rPr>
        <w:t xml:space="preserve"> цифры "</w:t>
      </w:r>
      <w:r>
        <w:rPr>
          <w:bCs/>
          <w:color w:val="000000"/>
          <w:sz w:val="28"/>
          <w:szCs w:val="28"/>
        </w:rPr>
        <w:t>194 815 684,21</w:t>
      </w:r>
      <w:r>
        <w:rPr>
          <w:bCs/>
          <w:color w:val="000000"/>
          <w:sz w:val="28"/>
          <w:szCs w:val="28"/>
          <w:highlight w:val="white"/>
        </w:rPr>
        <w:t xml:space="preserve">" заменить </w:t>
      </w:r>
      <w:r>
        <w:rPr>
          <w:bCs/>
          <w:color w:val="000000"/>
          <w:sz w:val="28"/>
          <w:szCs w:val="28"/>
        </w:rPr>
        <w:t>цифрами "184 926 015,40";</w:t>
      </w:r>
    </w:p>
    <w:p w:rsidR="00295674" w:rsidRDefault="008E5CCC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1.4. В пункте 13 цифры "102 645 604,12" заменить цифрами </w:t>
      </w:r>
      <w:r>
        <w:rPr>
          <w:bCs/>
          <w:color w:val="000000"/>
          <w:sz w:val="28"/>
          <w:szCs w:val="28"/>
        </w:rPr>
        <w:br/>
        <w:t>"131 059 043,25";</w:t>
      </w:r>
    </w:p>
    <w:p w:rsidR="00295674" w:rsidRDefault="008E5CCC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1.5. В пункте 14 цифры "108 602 834,70" заменить цифрами </w:t>
      </w:r>
      <w:r>
        <w:rPr>
          <w:bCs/>
          <w:color w:val="000000"/>
          <w:sz w:val="28"/>
          <w:szCs w:val="28"/>
        </w:rPr>
        <w:br/>
        <w:t>"105 189 395,57";</w:t>
      </w:r>
    </w:p>
    <w:p w:rsidR="00295674" w:rsidRDefault="008E5CCC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1.6. </w:t>
      </w:r>
      <w:r>
        <w:rPr>
          <w:color w:val="000000"/>
          <w:sz w:val="28"/>
          <w:szCs w:val="28"/>
        </w:rPr>
        <w:t>В подпункте 17.8 пункта 17 после слов "и органов местного самоуправления" дополнить словами "на формирование резервного фонда";</w:t>
      </w:r>
    </w:p>
    <w:p w:rsidR="00295674" w:rsidRDefault="002A0511">
      <w:pPr>
        <w:tabs>
          <w:tab w:val="left" w:pos="1037"/>
        </w:tabs>
        <w:ind w:firstLine="709"/>
        <w:jc w:val="both"/>
      </w:pPr>
      <w:r>
        <w:rPr>
          <w:bCs/>
          <w:color w:val="000000"/>
          <w:sz w:val="28"/>
          <w:szCs w:val="28"/>
        </w:rPr>
        <w:t>1.7. В пункте 19</w:t>
      </w:r>
      <w:r w:rsidR="008E5CCC">
        <w:rPr>
          <w:bCs/>
          <w:color w:val="000000"/>
          <w:sz w:val="28"/>
          <w:szCs w:val="28"/>
        </w:rPr>
        <w:t xml:space="preserve"> цифры "770 882 341,95" заменить цифрами </w:t>
      </w:r>
      <w:r w:rsidR="008E5CCC">
        <w:rPr>
          <w:bCs/>
          <w:color w:val="000000"/>
          <w:sz w:val="28"/>
          <w:szCs w:val="28"/>
        </w:rPr>
        <w:br/>
        <w:t>"770 223 033,34";</w:t>
      </w:r>
    </w:p>
    <w:p w:rsidR="00295674" w:rsidRDefault="008E5CCC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1.8. </w:t>
      </w:r>
      <w:r>
        <w:rPr>
          <w:color w:val="000000"/>
          <w:sz w:val="28"/>
          <w:szCs w:val="28"/>
        </w:rPr>
        <w:t xml:space="preserve">Приложение 1 "Источники внутреннего финансирования дефицита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годов" изложить в редакции Приложения № 1 к решению;</w:t>
      </w:r>
    </w:p>
    <w:p w:rsidR="00295674" w:rsidRDefault="008E5CCC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1.9. </w:t>
      </w:r>
      <w:r>
        <w:rPr>
          <w:color w:val="000000"/>
          <w:sz w:val="28"/>
          <w:szCs w:val="28"/>
        </w:rPr>
        <w:t>Приложение 2 "</w:t>
      </w:r>
      <w:r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</w:t>
      </w:r>
      <w:r>
        <w:rPr>
          <w:color w:val="000000"/>
          <w:sz w:val="28"/>
          <w:szCs w:val="28"/>
        </w:rPr>
        <w:t>на 2024 год и</w:t>
      </w:r>
      <w:r>
        <w:rPr>
          <w:sz w:val="28"/>
          <w:szCs w:val="28"/>
        </w:rPr>
        <w:t xml:space="preserve"> плановый период </w:t>
      </w:r>
      <w:r>
        <w:rPr>
          <w:bCs/>
          <w:sz w:val="28"/>
          <w:szCs w:val="28"/>
        </w:rPr>
        <w:t>2025 и 2026 годов</w:t>
      </w:r>
      <w:r>
        <w:rPr>
          <w:sz w:val="28"/>
          <w:szCs w:val="28"/>
        </w:rPr>
        <w:t>" изложить в редакции Приложения № 2 к решению;</w:t>
      </w:r>
    </w:p>
    <w:p w:rsidR="00295674" w:rsidRDefault="008E5CCC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1.10. 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rFonts w:eastAsia="Calibri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2024 год и плановый период 2025 и 2026 </w:t>
      </w:r>
      <w:r>
        <w:rPr>
          <w:sz w:val="28"/>
          <w:szCs w:val="28"/>
        </w:rPr>
        <w:t>годов"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3</w:t>
      </w:r>
      <w:r>
        <w:rPr>
          <w:sz w:val="28"/>
          <w:szCs w:val="28"/>
        </w:rPr>
        <w:t xml:space="preserve"> к решению;</w:t>
      </w:r>
    </w:p>
    <w:p w:rsidR="00295674" w:rsidRDefault="008E5CCC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1.11. 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lastRenderedPageBreak/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  <w:t xml:space="preserve">и подгруппам) видов расходов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2024 год и плановый период 2025 и 2026 </w:t>
      </w:r>
      <w:r>
        <w:rPr>
          <w:sz w:val="28"/>
          <w:szCs w:val="28"/>
        </w:rPr>
        <w:t>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4 к решению;</w:t>
      </w:r>
    </w:p>
    <w:p w:rsidR="00295674" w:rsidRDefault="008E5CCC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1.12. </w:t>
      </w:r>
      <w:r>
        <w:rPr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5 к решению;</w:t>
      </w:r>
    </w:p>
    <w:p w:rsidR="00295674" w:rsidRDefault="008E5CCC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1.13. 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6</w:t>
      </w:r>
      <w:r>
        <w:rPr>
          <w:sz w:val="28"/>
          <w:szCs w:val="28"/>
        </w:rPr>
        <w:t xml:space="preserve"> к решению.</w:t>
      </w:r>
    </w:p>
    <w:p w:rsidR="00295674" w:rsidRDefault="008E5CCC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 Приложения 7 "Программа муниципальных внутренних заимствований Уссурийского городского округа Приморского края на 2024 год и плановый период 2025 и 2026 годов" изложить в редакции </w:t>
      </w:r>
      <w:r>
        <w:rPr>
          <w:color w:val="000000"/>
          <w:sz w:val="28"/>
          <w:szCs w:val="28"/>
        </w:rPr>
        <w:t>Приложения № 7</w:t>
      </w:r>
      <w:r>
        <w:rPr>
          <w:sz w:val="28"/>
          <w:szCs w:val="28"/>
        </w:rPr>
        <w:t xml:space="preserve"> к решению.</w:t>
      </w:r>
    </w:p>
    <w:p w:rsidR="00295674" w:rsidRDefault="008E5C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подпункт 1</w:t>
      </w:r>
      <w:r w:rsidR="00B84BB0">
        <w:rPr>
          <w:color w:val="000000"/>
          <w:sz w:val="28"/>
          <w:szCs w:val="28"/>
        </w:rPr>
        <w:t>.6 пункта 1 настоящего решения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распространяет свое действие </w:t>
      </w:r>
      <w:r w:rsidR="00FA5ABA">
        <w:rPr>
          <w:color w:val="000000"/>
          <w:sz w:val="28"/>
          <w:szCs w:val="28"/>
        </w:rPr>
        <w:t xml:space="preserve">на правоотношения, возникшие с </w:t>
      </w:r>
      <w:r>
        <w:rPr>
          <w:color w:val="000000"/>
          <w:sz w:val="28"/>
          <w:szCs w:val="28"/>
        </w:rPr>
        <w:t>1 декабря 2024 года.</w:t>
      </w:r>
    </w:p>
    <w:p w:rsidR="00295674" w:rsidRPr="006D6D58" w:rsidRDefault="008E5C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sz w:val="28"/>
          <w:szCs w:val="28"/>
        </w:rPr>
      </w:pPr>
      <w:r>
        <w:rPr>
          <w:color w:val="000000"/>
          <w:sz w:val="24"/>
        </w:rPr>
        <w:t> </w:t>
      </w:r>
    </w:p>
    <w:p w:rsidR="00295674" w:rsidRPr="006D6D58" w:rsidRDefault="00295674">
      <w:pPr>
        <w:widowControl/>
        <w:ind w:firstLine="709"/>
        <w:jc w:val="both"/>
        <w:rPr>
          <w:sz w:val="28"/>
          <w:szCs w:val="28"/>
        </w:rPr>
      </w:pPr>
    </w:p>
    <w:p w:rsidR="00295674" w:rsidRPr="006D6D58" w:rsidRDefault="00295674">
      <w:pPr>
        <w:widowControl/>
        <w:ind w:firstLine="709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6D6D58" w:rsidTr="006D6D58">
        <w:tc>
          <w:tcPr>
            <w:tcW w:w="4786" w:type="dxa"/>
          </w:tcPr>
          <w:p w:rsidR="006D6D58" w:rsidRDefault="006D6D58" w:rsidP="006D6D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 xml:space="preserve">Приморского края </w:t>
            </w:r>
            <w:r>
              <w:rPr>
                <w:sz w:val="36"/>
                <w:szCs w:val="36"/>
              </w:rPr>
              <w:t>________________</w:t>
            </w:r>
            <w:r>
              <w:rPr>
                <w:sz w:val="28"/>
                <w:szCs w:val="28"/>
              </w:rPr>
              <w:t>А.Н. Черныш</w:t>
            </w:r>
          </w:p>
        </w:tc>
        <w:tc>
          <w:tcPr>
            <w:tcW w:w="425" w:type="dxa"/>
          </w:tcPr>
          <w:p w:rsidR="006D6D58" w:rsidRDefault="006D6D58">
            <w:pPr>
              <w:pStyle w:val="afc"/>
              <w:widowControl w:val="0"/>
              <w:spacing w:after="2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D6D58" w:rsidRDefault="006D6D58" w:rsidP="006D6D58">
            <w:pPr>
              <w:pStyle w:val="afc"/>
              <w:widowControl w:val="0"/>
              <w:spacing w:beforeAutospacing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</w:t>
            </w:r>
          </w:p>
          <w:p w:rsidR="006D6D58" w:rsidRDefault="006D6D58" w:rsidP="006D6D58">
            <w:pPr>
              <w:pStyle w:val="afc"/>
              <w:widowControl w:val="0"/>
              <w:spacing w:beforeAutospacing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округа Приморского края </w:t>
            </w:r>
          </w:p>
          <w:p w:rsidR="006D6D58" w:rsidRDefault="006D6D58" w:rsidP="006D6D58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</w:rPr>
              <w:t>Е.Е. Корж</w:t>
            </w:r>
          </w:p>
        </w:tc>
      </w:tr>
    </w:tbl>
    <w:p w:rsidR="00295674" w:rsidRDefault="00295674"/>
    <w:sectPr w:rsidR="00295674">
      <w:headerReference w:type="even" r:id="rId7"/>
      <w:headerReference w:type="default" r:id="rId8"/>
      <w:pgSz w:w="11906" w:h="16838"/>
      <w:pgMar w:top="850" w:right="850" w:bottom="850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066" w:rsidRDefault="00580066">
      <w:r>
        <w:separator/>
      </w:r>
    </w:p>
  </w:endnote>
  <w:endnote w:type="continuationSeparator" w:id="0">
    <w:p w:rsidR="00580066" w:rsidRDefault="0058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066" w:rsidRDefault="00580066">
      <w:r>
        <w:separator/>
      </w:r>
    </w:p>
  </w:footnote>
  <w:footnote w:type="continuationSeparator" w:id="0">
    <w:p w:rsidR="00580066" w:rsidRDefault="00580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674" w:rsidRDefault="008E5CCC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295674" w:rsidRDefault="00580066">
    <w:pPr>
      <w:pStyle w:val="af5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200.2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fit-shape-to-text:t" inset="0,0,0,0">
            <w:txbxContent>
              <w:p w:rsidR="00295674" w:rsidRDefault="008E5CCC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674" w:rsidRDefault="008E5CCC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B84BB0">
      <w:rPr>
        <w:noProof/>
      </w:rPr>
      <w:t>2</w:t>
    </w:r>
    <w:r>
      <w:fldChar w:fldCharType="end"/>
    </w:r>
  </w:p>
  <w:p w:rsidR="00295674" w:rsidRDefault="00295674">
    <w:pPr>
      <w:pStyle w:val="af5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674"/>
    <w:rsid w:val="00295674"/>
    <w:rsid w:val="002A0511"/>
    <w:rsid w:val="00352273"/>
    <w:rsid w:val="004C43D8"/>
    <w:rsid w:val="00580066"/>
    <w:rsid w:val="00640618"/>
    <w:rsid w:val="006D6D58"/>
    <w:rsid w:val="007A2B59"/>
    <w:rsid w:val="008E5CCC"/>
    <w:rsid w:val="00AA67A5"/>
    <w:rsid w:val="00B84BB0"/>
    <w:rsid w:val="00E12599"/>
    <w:rsid w:val="00F541FF"/>
    <w:rsid w:val="00F97716"/>
    <w:rsid w:val="00FA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CE0311"/>
  <w15:docId w15:val="{DF8D40C7-EBF5-4E2C-B94B-2BC0B162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7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</w:style>
  <w:style w:type="character" w:customStyle="1" w:styleId="a9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</w:style>
  <w:style w:type="paragraph" w:customStyle="1" w:styleId="afe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222</cp:revision>
  <cp:lastPrinted>2024-12-23T07:26:00Z</cp:lastPrinted>
  <dcterms:created xsi:type="dcterms:W3CDTF">2021-09-14T05:47:00Z</dcterms:created>
  <dcterms:modified xsi:type="dcterms:W3CDTF">2024-12-24T01:40:00Z</dcterms:modified>
  <dc:language>ru-RU</dc:language>
  <cp:version>917504</cp:version>
</cp:coreProperties>
</file>