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4882" w:type="dxa"/>
        <w:tblInd w:w="283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5953"/>
        <w:gridCol w:w="1134"/>
        <w:gridCol w:w="899"/>
        <w:gridCol w:w="519"/>
        <w:gridCol w:w="707"/>
        <w:gridCol w:w="1984"/>
        <w:gridCol w:w="1843"/>
        <w:gridCol w:w="1843"/>
      </w:tblGrid>
      <w:tr>
        <w:tblPrEx/>
        <w:trPr>
          <w:trHeight w:val="1404"/>
          <w:tblHeader/>
        </w:trPr>
        <w:tc>
          <w:tcPr>
            <w:gridSpan w:val="3"/>
            <w:tcW w:w="7986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</w:r>
            <w:r>
              <w:rPr>
                <w:rFonts w:ascii="Arial" w:hAnsi="Arial" w:cs="Arial"/>
                <w:i/>
                <w:sz w:val="24"/>
                <w:szCs w:val="24"/>
              </w:rPr>
            </w:r>
            <w:r>
              <w:rPr>
                <w:rFonts w:ascii="Arial" w:hAnsi="Arial" w:cs="Arial"/>
                <w:i/>
                <w:sz w:val="24"/>
                <w:szCs w:val="24"/>
              </w:rPr>
            </w:r>
          </w:p>
        </w:tc>
        <w:tc>
          <w:tcPr>
            <w:gridSpan w:val="5"/>
            <w:tcW w:w="6896" w:type="dxa"/>
            <w:textDirection w:val="lrTb"/>
            <w:noWrap w:val="false"/>
          </w:tcPr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"Приложение 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  <w:t xml:space="preserve">Приморского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19 декабря 2024 года № 93-НПА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488"/>
          <w:tblHeader/>
        </w:trPr>
        <w:tc>
          <w:tcPr>
            <w:gridSpan w:val="8"/>
            <w:tcBorders>
              <w:bottom w:val="single" w:color="000000" w:sz="4" w:space="0"/>
            </w:tcBorders>
            <w:tcW w:w="14882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аспределение бюджетных ассигнований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разделам, подразделам, целевым статьям (муниципальным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программам и непрограммным направлениям деятельности) и  группам (группам и подгруппам)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видов расходов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 Приморского края 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соответствии с классификацией расходов бюджета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2025 год и плановый период 2026 и 2027 годов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right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рублей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95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под- раздел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статья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рас ходов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2025 год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2026 год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2027 год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tbl>
      <w:tblPr>
        <w:tblStyle w:val="761"/>
        <w:tblW w:w="0" w:type="auto"/>
        <w:tblInd w:w="291" w:type="dxa"/>
        <w:tblLayout w:type="fixed"/>
        <w:tblLook w:val="04A0" w:firstRow="1" w:lastRow="0" w:firstColumn="1" w:lastColumn="0" w:noHBand="0" w:noVBand="1"/>
      </w:tblPr>
      <w:tblGrid>
        <w:gridCol w:w="5102"/>
        <w:gridCol w:w="567"/>
        <w:gridCol w:w="567"/>
        <w:gridCol w:w="1417"/>
        <w:gridCol w:w="709"/>
        <w:gridCol w:w="1984"/>
        <w:gridCol w:w="1843"/>
        <w:gridCol w:w="1843"/>
      </w:tblGrid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1 150 204 938,18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897 268 113,30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858 037 107,16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6 297 247,44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6 297 247,44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6 297 247,44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Глава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6 297 247,44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6 297 247,44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49 591 341,28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49 591 341,28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49 591 341,28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41 295 647,63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42 143 339,50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43 456 785,57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40 226 567,63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41 795 759,50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43 456 785,57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1 069 080,00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347 580,00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Депутаты Думы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3 071 712,58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3 206 044,81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3 334 312,96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3 071 712,58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3 206 044,81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3 334 312,96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Председатель Думы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5 223 981,07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5 452 385,40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5 668 912,93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5 223 981,07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5 452 385,40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5 668 912,93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163 911 019,25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163 911 019,25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163 911 019,25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163 911 019,25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163 911 019,25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Судебная система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63 260 776,96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64 752 950,26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66 331 620,28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63 260 776,96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64 752 950,26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66 331 620,28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63 260 776,96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64 752 950,26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66 331 620,28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59 656 269,38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61 004 250,09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62 432 953,14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57 722 296,41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60 032 403,93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62 432 953,14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1 933 972,97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971 846,16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Руководитель Контрольно-счетной палаты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3 604 507,58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3 748 700,17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3 898 667,14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3 604 507,58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3 748 700,17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3 898 667,14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фонды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119 731 284,00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119 731 284,00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119 731 284,00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112 874 690,00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112 874 690,00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6 856 594,00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6 856 594,00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747 187 473,25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603 429 762,97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555 845 051,93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52 442 210,00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 решений, принятых судебными органами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в отношении объектов муниципальной казны, бесхозяйных недвижимых вещей, расположенных на территории городского округа (за исключением земельных участков)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сохранение объектов муниципальной казны (за исключением земельных участков, объектов жилого фонда, имущества, переданного во временное владение (пользование) третьими лицами)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5 843 538,00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5 843 538,00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Определение рыночно обоснованной стоимости имущества муниципальной казны, размера возмещения за изымаемое жилое (нежилое) помещение,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расположенного в многоквартирном доме, признанном аварийным и подлежащим сносу, рыночной стоимости наследуемого выморочного имущества, величины арендной платы муниципального имущества, размера платежа за право заключения договора безвозмездного пользования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 распоряжение объектами муниципальной казны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5 606 462,00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5 306 462,00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"Обеспечение деятельности органов администрации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37 592 210,00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37 592 210,00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37 178 600,00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38 792 095,00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413 610,00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73 280,00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"Антикоррупционная пропаганда, информирование населения об антикоррупционной деятельности"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конкурсов рисунков, сочинений антикоррупционной направленности среди учащихся образовательных учреждений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1040421200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1040421200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"Формирование нетерпимого отношения к коррупционным проявлениям"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1040521710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1040521710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"Информирование населения об антикоррупционной деятельности"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 Приморского края" на 2021 - 2027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17 252 800,00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доступа населения Уссурийского городского округа Приморского края к официальной информации о деятельности органов местного самоуправления"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15 752 800,00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12 196 973,00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12 196 973,00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сувенирной и рекламной продукции о жизнедеятельности, создание фото- и видеоконтекта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555 827,00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555 827,00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Субсидий на реализацию социально значимых проектов выполняемых в сфере средств массовой информации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3140160010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3140160010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3140220060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3140220060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активности органов территориального общественного самоуправления в информационном пространстве"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3140320060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3140320060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активистов и органов территориального общественного самоуправления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3140380010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3140380010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 - коммуникационных технологий администрации Уссурийского городского округа Приморского края " на 2024 - 2030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и обеспечение эксплуатации информационно-коммуникационной инфраструктуры администрации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администрации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7 170 310,00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170 310,00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7 170 310,00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170 310,00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3340171510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3340171510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по защите информации, в том числе приобретение средств защиты для нужд администрации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работы, направленной на минимизацию случаев заболевания муниципальных служащих"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665 102 383,25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563 664 387,97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514 299 548,93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665 102 383,25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563 664 387,97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514 299 548,93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149 303 512,69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152 245 643,83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157 893 044,13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146 114 722,69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151 818 310,83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157 893 044,13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3 173 590,00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22 988,00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22 988,00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3 041 851,84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3 041 851,84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администрацией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Думой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Зарезервированные иным образом средства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132 453 514,97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70 343 532,66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2 491 125,32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132 453 514,97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70 343 532,66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2 491 125,32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Взносы в добровольные организации межмуниципального сотрудничества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162 348 760,00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133 851 750,00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139 240 070,00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109 503 400,00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114 430 100,00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118 984 500,00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51 461 760,00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19 038 050,00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20 255 570,00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1 383 600,00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"Архив"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15 024 710,00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15 661 920,00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16 516 850,00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12 544 900,00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14 138 200,00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15 339 900,00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2 476 668,00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1 523 478,00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1 176 950,00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139 317 260,00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139 295 001,00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144 658 801,00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133 270 000,00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139 095 001,00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144 658 801,00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6 047 260,00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обеспечение деятельности комиссий по делам несовершеннолетних и защите их прав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4 577 668,40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4 760 774,96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4 951 183,77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4 491 737,40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4 671 406,96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4 858 240,77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85 931,00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89 368,00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92 943,00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отдельных государственных полномочий по созданию административных комиссий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1 670 012,60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1 758 902,04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1 829 251,23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1 670 012,60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1 758 902,04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1 829 251,23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2 441 899,00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2 542 929,00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2 639 446,00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2 441 899,00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2 542 929,00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2 639 446,00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государственных полномочий органов опеки и попечительства в отношении несовершеннолетних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20 149 004,00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2 584 092,00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2 697 017,00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2 804 898,00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2 584 092,00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2 697 017,00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2 804 898,00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10 891 604,75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10 891 604,75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ОБОРОНА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9 327 830,00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Мобилизационная подготовка экономики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мобилизационной готовности экономики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обороны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54 797 059,33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60 487 837,96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43 961 070,00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Гражданская оборона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51 963 316,00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59 610 837,96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первичных мер пожарной безопасности в границах Уссурийского городского округа Приморского края" на 2023 - 2028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"Содержание и обеспечение добровольной пожарной охраны средствами индивидуальной защиты и снаряжение"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37203S2660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37203S2660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пожарной безопасности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устройству, обновлению противопожарных минерализованных полос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и обеспечение работоспособности первичных средств пожаротушения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территорий прилегающих к пожарным резервуарам, пирсам, информационным стендам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3740121750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3740121750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информированности населения Уссурийского городского округа Приморского края о мерах пожарной безопасности"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Информирование населения по вопросам пожарной безопасности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3740220170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3740220170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48 963 316,00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48 963 316,00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3 143 406,00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3 143 406,00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"Управления по делам гражданской обороны и чрезвычайным ситуациям"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45 819 910,00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38 578 200,00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40 264 400,00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41 875 000,00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7 114 972,82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2 738 272,82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1 209 070,00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126 737,18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126 737,18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1 956 743,33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1 956 743,33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2940171510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2940171510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1 572 743,33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1 572 743,33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1 472 743,33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ЭКОНОМИКА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1 194 375 650,04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1 092 389 414,71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503 363 694,71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Сельское хозяйство и рыболовство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31 029 892,03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 Приморского края" на 2020-2026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проектов межевания земельных участков и на проведение кадастровых работ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19401L5990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19401L5990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Водное хозяйство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81 318 657,20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 Приморского края" на 2023 - 2027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81 318 657,20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содержанию гидротехнических сооружений"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текущему содержанию гидротехнических сооружений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2040320140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2 501 800,00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2040320140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2 501 800,00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2040321240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2040321240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 по содержанию гидротехнических сооружений расположенных на территории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2040360140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2040360140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"Защита населения и объектов экономики от негативного воздействия вод"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68 518 657,20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проектно-сметной документации на реконструкцию объекта Инженерная защита от затопления микрорайона Семь ветров в районе ул. Раздольная в г. Уссурийске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2040441970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2040441970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строительно монтажных работ по объекту "Гидротехническое сооружение "Раковский гидроузел"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2040445180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2040445180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20404L0654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8 518 657,20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20404L0654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8 518 657,20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Транспорт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226 124 012,46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139 209 407,08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226 120 625,38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139 206 020,00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безопасности дорожного движения"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226 120 625,38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139 206 020,00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транспортного обслуживания населения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23203S2410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23203S2410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подвижного состава пассажирского транспорта общего пользования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23203S2770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139 206 020,00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23203S2770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139 206 020,00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Дорожное хозяйство (дорожные фонды)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849 186 388,35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754 875 200,00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624 444 167,11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754 875 200,00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дорожной деятельности в Уссурийском городском округе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местного значения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23201SД008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23201SД008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автомобильной дороги ул. Чичерина в г. Уссурийске на участке км 1+800 - км 3+000 (в том числе искусственных сооружений на них"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 (реконструкция) автомобильных дорог общего пользования населенных пунктов (Реконструкция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23215SД007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23215SД007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дорожной деятельности в Уссурийском городском округе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255 707 016,09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236 775 200,00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общего пользования местного значения и искусственных сооружений на них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2340120210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172 116 648,09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2340120210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172 116 648,09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технического состояния, классификация по категориям, паспортизация автомобильных дорог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1 036 652,09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1 036 652,09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инженерных изысканий и разработка проектной документации автомобильных дорог и их элементов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"Наша дорога" в рамках инициативного бюджетирования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2340122450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4 199 854,00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2340122450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4 199 854,00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77 621 600,00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145 375 200,00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308 900 000,00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77 621 600,00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145 375 200,00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308 900 000,00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ул. Михайловское шоссе (СХТ) в с. Воздвиженка на участке км 0+180 - км 0+500 (в том числе искусственных сооружений на них)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дорожного движения"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временного ограничения движения транспортных средств на автомобильных дорогах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2340321530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2340321530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работы системы ливневой канализации"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12 518 591,02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системы ливневой канализации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2340520230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12 518 591,02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2340520230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12 518 591,02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"Подъездные автомобильные дороги, проезды в микрорайоне"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подъездных автомобильных дорог, проездов в микрорайоне в границах ул. Анучинская (84 земельных участка)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2440345290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2440345290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Связь и информатика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 Приморского края" на 2021 - 2027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31204S2740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31204S2740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экономики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6 619 500,00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градостроительной деятельности и деятельности в области земельных отношений в Уссурийском городском округе Приморского края" на 2023 - 2027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осуществлению полномочий в области градостроительной деятельности на территории Уссурийского городского округа Приморского края 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2 735 432,00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документации по планировке территории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0140120790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1 758 712,00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0140120790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1 758 712,00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урегулированию земельных отношений на территории Уссурийского городского округа Приморского края 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2 264 568,00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распоряжения и использования земель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поступлений в местный бюджет платежей, пеней и штрафов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377 568,00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377 568,00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рыночной стоимости земельных участков и (или) расположенных на них объектов недвижимого имущества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Рациональное использование и охрана земель на территории городского округа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"Содействие развитию малого и среднего предпринимательства на территории Уссурийского городского округа Приморского края" на 2018 - 2027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"Формирование положительного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0340120910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0340120910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ЖИЛИЩНО-КОММУНАЛЬНОЕ ХОЗЯЙСТВО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1 077 548 648,54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569 661 064,00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641 719 213,04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Жилищное хозяйство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64 296 477,09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"Переселение граждан из аварийного жилищного фонда в Уссурийском городском округе Приморского края" на 2019-2025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15 978 394,22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вторичном и первичном рынке жилья для граждан, проживающих в многоквартирных домах, признанн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ых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0940120340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0940120340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"Выполнение сноса аварийных домов"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0940320360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0940320360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0940322310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0940322310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"Проведение капитального ремонта общего имущества многоквартирных домов, муниципальны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х жилых помещений и проведение мероприятий, связанных со своевременностью поступления в бюджет Уссурийского городского округа Приморского края платы за наем муниципальных помещений и содержанием свободного муниципального жилищного фонда, на 2018-2025 годы"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47 479 434,71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условий для управления многоквартирными домами"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созданию условий для управления многоквартирными домами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12206S2330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12206S2330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 за счет средств местного бюджета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12207S2140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12207S2140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капитального ремонта многоквартирных жилых домов, по которым имеется решение суда"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общего имущества многоквартирных домов, по которым имеется решение суда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1240120290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1240120290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обязательного и дополнительного взносов в части муниципальной доли на капитальный ремонт общего имущества многоквартирных домов"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1240220300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1240220300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 процессных мероприятий "Проведение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муниципальных жилых помещений, проведение санитарно-эпидемиологической экспертизы условий проживания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1240320320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1240320320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обеспечению поступлений в бюджет Уссурийского городского округа Приморского края платежей, пеней и штрафов в части платы за наем"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Работы, направленные на своевременное поступление в местный бюджет платы за наем муниципальных жилых помещений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1240420820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1240420820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работ, связанных с содержанием свободного муниципального жилищного фонда"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свободные муниципальные жилые помещения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838 648,16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838 648,16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838 648,16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264 376,65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465 379,51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Коммунальное хозяйство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379 044 892,91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234 232 736,78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проекты в рамках региональных проектов, не входящих в состав национальных проектов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4 499 993,60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реконструкцию, модернизацию и капитальный ремонт объектов водопроводно-канализационного хозяйства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24200S2320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4 499 993,60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24200S2320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4 499 993,60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граждан твердым топливом"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граждан твердым топливом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24204S2620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24204S2620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 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24221S2320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24221S2320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объектаКомплекс биологической очистки (доочистки) и обеззараживания сточных вод, производительностью 150 куб. м/сут. на очистных сооружениях с. Пуциловка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150 м3/сут. на очистных сооружениях с. Пуциловка 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24222S2320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24222S2320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объектаКомплекс биологической очистки (доочистки) и обеззараживания сточных вод, производительностью 300 куб. м/сут. на очистных сооружениях с. Заречное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м3/сут. на очистных сооружениях с. Заречное 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24223S2320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24223S2320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1 304 614,48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2440197007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1 304 614,48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2440197007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1 304 614,48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"Энергоэффективность, развитие газоснабжения в Уссурийском городском округе Приморского края" на 2023 и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139 569 824,13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(перевод на природный газ) котельной № 45 с. Воздвиженка"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развитие системы газоснабжения (Реконструкция (перевод на природный газ) котельной № 45 с. Воздвиженка)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35203S2280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35203S2280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39 182 727,35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Тепловая сеть для закрытия 46 и 20 котельной и переключения нагрузок на котельную по ул.Раковская г.Уссурийск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энергосбережению и повышению энергетической эффективности систем коммунальной инфраструктуры (Тепловая сеть для закрытия 46 и 20 котельной и переключения нагрузок на котельную по ул.Раковская г.Уссурийск)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35206SТ003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35206SТ003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"Схема теплоснабжения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Актуализация схемы теплоснабжения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3540720760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3540720760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5 242 332,00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5 242 332,00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5 242 332,00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5 242 332,00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биологической очистки (доочистки) и обеззараживания сточных вод, производительностью 150м3/сут. на очистных сооружениях канализации с. Степное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9909945490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9909945490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303 541 543,92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242 636 586,76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240 065 602,44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 Приморского края" на 2017 - 2027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142 322 278,07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 Молодежный бюджет": "Озеленение города Уссурийск"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22216S2755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22216S2755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направлению"Твой проект": "Обустройство детской площадки "Радость"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22217S2364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22217S2364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озеленение территории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52 086 103,52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содержание мест (площадок) накопления твердых коммунальных отходов, включая подъездные пути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2240120390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2240120390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объектов благоустройства и озеленения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16 366 468,67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16 366 468,67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общественных мероприятий по благоустройству и озеленению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зеленых насаждений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15 835 871,39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15 835 871,39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территории общего пользования, не переданных в аренду или собственность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7 225 553,46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7 225 553,46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предотвращению и (или) снижению негативного воздействия хозяйственной и иной деятельности на окружающую среду (ликвидация мест несанкционированного размещения отходов)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2240121810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2240121810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"Парк Загородный" в рамках инициативного бюджетирования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2240122440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2240122440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"Предотвращение и устранение загрязнений водных объектов"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очистке и обеззараживанию шахтных колодцев, ликвидации аварийных шахтных колодцев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2240220160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2240220160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Подготовительные работы и эксплуатация временных площадок для складирования снега и льда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2240220220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2240220220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территорий общего пользования"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83 990 720,00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фонтанов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2240420810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2240420810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и скверов"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44 090 720,00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32 873 100,00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34 309 900,00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35 682 300,00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11 159 620,00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4 222 560,00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3 049 075,20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сферы ритуальных услуг и похоронного дела на территории Уссурийского городского округа Приморского края" на 2016-2027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13 070 282,44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содержание кладбищ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25201S2170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25201S2170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содержание кладбищ"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7 829 720,00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благоустройство общественных кладбищ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7 634 910,00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7 634 910,00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Противоклещевая обработка общественных кладбищ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2540120420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194 810,00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2540120420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194 810,00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санитарно-защитных зон кладбищ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и разработка проекта санитарно-защитной зоны общественного кладбища с адресом ориентира: г. Уссурийск, ул. Русская, 84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2540320850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2540320850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сетей уличного освещения Уссурийского городского округа Приморского края" на 2018-2027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"Освещение автомобильных дорог общего пользования местного значения"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потребляемую электроэнергию объектов уличного освещения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4840520240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4840520240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"Техническое обслуживание и ремонт сетей уличного освещения"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техническим обслуживанием и ремонтом объектов уличного освещения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4840660350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4840660350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"Формирование современной городской среды Уссурийского городского округа Приморского края" на 2018 - 2030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71 132 896,65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203 393 226,76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200 640 195,24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"Формирование комфортной городской среды"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программ формирования современной городской среды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491И455550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491И455550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иципальный проект "Повышение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муниципальных программ по благоустройству территорий муниципальных образований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49201S2610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49201S2610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общественных территорий"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5 765 848,68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оснащение общественных территорий, парков и скверов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4940220810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4940220810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49402L505Ш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265 848,68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49402L505Ш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265 848,68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жилищно-коммунального хозяйства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330 665 734,62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327 024 477,24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333 944 510,60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330 665 734,62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327 024 477,24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333 944 510,60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330 665 734,62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327 024 477,24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333 944 510,60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180 512 360,42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187 628 854,84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195 134 008,95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180 512 360,42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187 628 854,84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195 134 008,95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150 077 670,00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139 394 890,00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138 809 740,00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127 316 300,00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132 408 900,00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137 705 300,00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6 586 972,00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6 561 342,00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1 104 440,00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16 174 398,00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424 648,00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704,20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761,65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704,20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761,65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ОКРУЖАЮЩЕЙ СРЕДЫ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охраны окружающей среды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 Приморского края" на 2023 - 2027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мероприятий по содержанию городских лесов"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содержанию городских лесов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2040520920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2040520920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ОБРАЗОВАНИЕ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6 293 292 432,92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5 732 445 641,70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5 958 961 212,17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Дошкольное образование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1 811 279 809,80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1 702 117 314,73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1 814 388 999,78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1 811 279 809,80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1 702 117 314,73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1 814 388 999,78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"Поддержка семьи"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108 223 541,73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87 917 525,78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151Я150540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74 991 686,06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87 917 525,78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151Я150540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74 991 686,06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87 917 525,78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151Я153150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33 231 855,67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151Я153150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33 231 855,67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дошкольного образования"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1 006 745 359,00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1 055 104 601,00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1 132 790 592,00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955 180 362,00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1 055 104 601,00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1 132 790 592,00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918 241 128,00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1 013 407 301,00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1 087 298 838,00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36 939 234,00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41 697 300,00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45 491 754,00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15201S2070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51 564 997,00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15201S2070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51 564 997,00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дошкольного образования"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689 958 741,32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538 789 172,00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593 680 882,00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110 943 993,32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32 124 180,00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110 941 450,35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32 124 180,00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прочие расходы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87 629 289,00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4 404 759,00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97 821,00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84 817 754,00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3 621 746,00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69 018,00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2 811 535,00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783 013,00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28 803,00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оплата труда, с учетом начислений на выплаты по оплате труда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256 749 954,00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264 032 151,00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270 086 459,00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247 037 543,00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254 044 267,00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259 869 550,00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9 712 411,00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9 987 884,00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10 216 909,00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коммунальные услуги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84 193 191,00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87 785 768,00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87 785 768,00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80 038 254,00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83 453 537,00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83 453 537,00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4 154 937,00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4 332 231,00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4 332 231,00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обеспечение бесплатным питанием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дополнительных мест в системе дошкольного образования за счет строительства новых зданий и проведения реконструкции существующих зданий"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1 284 424,31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1540245810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1 284 424,31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1540245810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1 284 424,31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2 486 320,00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898 320,00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78 320,00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1 588 000,00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1 588 000,00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2 839 198,21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1541197009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2 839 198,21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1541197009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2 839 198,21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Общее образование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4 094 166 387,54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3 707 382 382,38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3 805 882 088,63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4 090 166 387,54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3 707 382 382,38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3 805 882 088,63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"Всё лучшее детям"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304 751 217,34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237 377 426,83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236 843 991,83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Адресное строительство школ в отдельных населенных пунктах с объективно выявленной потребностью инфраструктуры (зданий) школ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151Ю450490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234 975 004,11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237 377 426,83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236 843 991,83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151Ю450490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234 975 004,11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237 377 426,83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236 843 991,83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модернизации школьных систем образования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69 776 213,23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59 089 766,16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10 686 447,07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"Педагоги и наставники"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141 677 553,12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141 741 396,00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141 960 262,56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выплат ежемесячного денежного вознагра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Приморского края, муниципальных общеобразовательных организаций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11 918 613,12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12 099 456,00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12 318 322,56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11 204 627,52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11 385 470,40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11 604 336,96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125 892 000,00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125 775 000,00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119 915 820,00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119 798 820,00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119 798 820,00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общего образования"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2 136 480 527,31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2 247 240 019,00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2 414 980 425,00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2 031 186 155,00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2 247 240 019,00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2 414 980 425,00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1 931 110 637,00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2 134 454 910,00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2 291 961 329,00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100 075 518,00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112 785 109,00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123 019 096,00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"Полоса препятствий"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"Благоустройство школьного двора"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"Универсальная спортивная площадка на территории МБОУ СОШ с.Алексей-Никольское"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территории школы МБОУ СОШ п.Тимирязевский"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территории Гимназии №29"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волейбольной площадки"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"Школьный двор мечты"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486 056 107,29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486 056 107,29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480 110 927,48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486 056 107,29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5 943 616,16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"Предоставление мер социальной поддержки участникам образовательного процесса"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детей, обучающихся в муниципальных образовательных организациях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дополнительных мест в системе дошкольного образования за счет строительства новых зданий и проведения реконструкции существующих зданий"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1 985 866,67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здания детского сада по ул. Промышленной, 5д, в г. Уссурийске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1540220510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1 985 866,67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1540220510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1 985 866,67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общего образования"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777 186 693,13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378 565 253,26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376 814 605,00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1540320540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2 925 289,70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1540320540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2 925 289,70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259 509 148,34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19 132 660,00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259 509 148,34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19 132 660,00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модернизации школьных систем образования за счет средств местного бюджета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69 018 346,47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69 018 346,47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зданий общеобразовательных учреждений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1540322470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164 059,33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1540322470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164 059,33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прочие расходы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105 614 873,00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9 131 894,26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100 367 930,00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7 670 620,26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5 246 943,00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1 461 274,00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оплата труда, с учетом начислений на выплаты по оплате труда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196 355 865,00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201 926 032,00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206 556 231,00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184 018 559,00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189 238 840,00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193 578 119,00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12 337 306,00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12 687 192,00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12 978 112,00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коммунальные услуги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103 455 677,00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107 870 193,00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107 870 193,00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91 149 289,00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95 038 688,00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95 038 688,00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12 306 388,00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12 831 505,00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12 831 505,00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прочие расходы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439 978,00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122 534,00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439 978,00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122 534,00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оплата труда, с учетом начислений на выплаты по оплате труда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23 357 950,00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24 020 452,00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24 571 245,00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23 357 950,00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24 020 452,00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24 571 245,00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коммунальные услуги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4 376 027,00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4 562 756,00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320 756,00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4 376 027,00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4 562 756,00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320 756,00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обеспечение бесплатным питанием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из федерального бюджета (Капитальный ремонт зданий муниципальных общественных учреждений) объекта культурного наследия (памятника истории и культуры) здание муниципального бюджетного общеобразовательного учреждения "СОШ № 4" г.Уссурийск, ул. Пушкина, д. 77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1540397004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170 747,29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1540397004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170 747,29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1540441860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1540441860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2 291 255,00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1 962 835,00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1 928 000,00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34 835,00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98 420,00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98 420,00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мер социальной поддержки участникам образовательного процесса"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186 131 220,00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163 324 950,00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157 963 150,00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обучающихся 5 - 11 классов муниципальных общеобразовательных организаций Уссурийского городского округа Приморского края за счет средств местного бюджета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7 835 220,00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7 372 380,00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462 840,00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178 296 000,00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163 324 950,00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157 963 150,00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167 798 500,00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152 827 450,00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147 465 650,00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 Приморского края" на 2021- 2027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доступности муниципальных учреждений в приоритетных сферах жизнедеятельности для инвалидов и других маломобильных групп населения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для инвалидов и других маломобильных групп населения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Дополнительное образование детей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272 122 974,60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255 902 599,00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270 600 344,00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591 948,00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591 948,00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341 948,00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341 948,00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155 546 363,00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132 264 641,00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138 229 047,00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155 134 183,00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132 264 641,00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138 229 047,00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1 421 680,00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1 421 680,00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1540521230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1540521230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военно-патриотического воспитания среди детей и молодежи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1540521620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1540521620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(возмещение) затрат, связанных с оказанием муниципальных услу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 в социальной сфере по направлению деятельности реализация дополнительных общеразвивающих программ для детей в рамках муниципального социального заказа с использованием социального сертификата - оплата труда, с учетом начислений на выплаты по оплате труда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19 147 930,00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18 561 110,00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586 820,00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прочие расходы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7 525 032,00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2 095 722,00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77 099,00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7 525 032,00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2 095 722,00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77 099,00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оплата труда, с учетом начислений на выплаты по оплате труда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122 262 990,00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125 730 739,00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128 613 768,00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122 262 990,00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125 730 739,00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128 613 768,00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коммунальные услуги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4 256 551,00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4 256 551,00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115 984 663,60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123 637 958,00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132 371 297,00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114 710 813,60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123 637 958,00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132 371 297,00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350 561,60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350 561,60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прочие расходы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4 619 190,00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1 024 825,00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4 619 190,00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1 024 825,00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оплата труда, с учетом начислений на выплаты по оплате труда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107 055 815,00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119 820 476,00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129 466 934,00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107 055 815,00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119 820 476,00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129 466 934,00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коммунальные услуги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2 685 247,00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2 792 657,00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2 904 363,00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2 685 247,00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2 792 657,00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2 904 363,00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"Реконструкция, ремонт и благоустройство учреждений культуры и искусства"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Профессиональная подготовка, переподготовка и повышение квалификации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"Антикоррупционное обучение"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1040221210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1040221210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мероприятий, направленных на рост профессионализма муниципальных служащих"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Молодежная политика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отдыха, оздоровления и занятости детей и подростков"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8 857 560,00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812 440,00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8 857 560,00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812 440,00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"Организация и осуществление мероприятий по работе с молодежью в Уссурийском городском округе Приморского края" на 2021 - 2027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с молодежью"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гражданско-патриотическому воспитанию молодежи и здоровому образу жизни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талантливой молодежи в области образования, науки, культуры спорта и общественной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1840180050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1840180050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по содействию трудовой занятости и развитию волонтерского движения"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1840220130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1840220130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образования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94 642 340,98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66 758 345,59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68 089 779,76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94 642 340,98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66 758 345,59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68 089 779,76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 отдыха, оздоровления и занятости детей и подростков"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27 709 392,00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27 709 392,00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26 159 392,00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талантливых детей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38 650,00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отдыха, оздоровления и занятости детей и подростков"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14 235 649,00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12 290 370,00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11 864 682,00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муниципального автономного учреждения "Детский оздоровительный лагерь "Надежда", с.Каймановка, ул.Центральная 1б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1540720540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1540720540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прочие расходы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2 404 096,00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24 632,00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2 404 096,00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24 632,00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оплата труда, с учетом начислений на выплаты по оплате труда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9 297 587,00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9 560 363,00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9 779 584,00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9 297 587,00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9 560 363,00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9 779 584,00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коммунальные услуги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621 032,00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621 032,00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обеспечение бесплатным питанием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52 080 649,98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52 936 454,59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54 693 576,76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32 962 829,98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33 772 344,59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34 930 396,76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32 294 669,98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33 586 644,59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34 930 356,76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668 160,00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"Методический кабинет"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18 851 820,00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19 164 110,00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19 763 180,00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18 272 490,00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19 003 060,00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19 763 180,00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579 330,00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161 050,00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КУЛЬТУРА, КИНЕМАТОГРАФИЯ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569 845 744,54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571 667 798,27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620 435 473,60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543 719 234,10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544 589 257,67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593 390 073,60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539 584 070,48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544 589 257,67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593 390 073,60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6 453 673,47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35 456 554,37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региональных и муниципальных библиотек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171Я553480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818 865,98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171Я553480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818 865,98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сети учреждений культурно-досугового типа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6 453 673,47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34 637 688,39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6 453 673,47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34 637 688,39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"Материально-техническое обеспечение учреждений культуры и искусства"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15 009 119,38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муниципальных домов культуры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17202S2470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4 526 640,00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17202S2470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4 526 640,00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муниципальных библиотек.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10 309 278,35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10 309 278,35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Комплектование книжных фондов и обеспечение информационно-техническим оборудованием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"Реконструкция, ремонт и благоустройство учреждений культуры и искусства"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1720500000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199 598,14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17205S2050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199 598,14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17205S2050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199 598,14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491 960 889,66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498 364 698,30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529 066 603,44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25 074 187,05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8 747 617,05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16 326 570,00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прочие расходы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4 505 239,00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1 524 932,00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4 505 239,00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1 524 932,00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оплата труда, с учетом начислений на выплаты по оплате труда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95 487 355,00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106 872 665,00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115 476 726,00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95 487 355,00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106 872 665,00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115 476 726,00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коммунальные услуги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2 589 843,00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2 693 437,00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2 801 174,00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2 589 843,00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2 693 437,00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2 801 174,00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прочие расходы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3 016 381,00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839 460,00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3 016 381,00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839 460,00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оплата труда, с учетом начислений на выплаты по оплате труда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104 533 470,00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116 997 384,00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126 416 561,00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104 533 470,00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116 997 384,00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126 416 561,00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коммунальные услуги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1 436 225,00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1 493 674,00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1 553 421,00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1 436 225,00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1 493 674,00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1 553 421,00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прочие расходы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1 124 805,00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1 124 805,00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оплата труда, с учетом начислений на выплаты по оплате труда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20 130 857,00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22 531 133,00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24 345 060,00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20 130 857,00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22 531 133,00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24 345 060,00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коммунальные услуги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602 184,00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626 272,00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602 184,00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626 272,00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прочие расходы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15 350 874,56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4 269 956,72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14 280 368,67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3 972 034,62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1 070 505,89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297 922,10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оплата труда, с учетом начислений на выплаты по оплате труда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135 114 372,70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151 224 558,23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163 399 283,49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93 497 704,50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104 645 780,97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113 070 560,80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41 616 668,20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46 578 777,26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50 328 722,69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коммунальные услуги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14 365 536,03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14 940 156,32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15 537 763,90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12 001 427,95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12 481 484,06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12 980 744,61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2 364 108,08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2 458 672,26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2 557 019,29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прочие расходы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2 901 901,44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807 353,28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1 604 357,33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446 246,38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1 297 544,11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361 106,90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оплата труда, с учетом начислений на выплаты по оплате труда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60 947 130,30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68 214 081,77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73 705 833,51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10 504 191,50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11 756 645,03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12 703 144,20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50 442 938,80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56 457 436,74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61 002 689,31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коммунальные услуги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4 213 824,97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4 382 377,68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4 557 673,10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1 348 325,05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1 402 257,94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1 458 348,39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2 865 499,92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2 980 119,74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3 099 324,71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17401L4660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589 864,61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666 296,30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646 835,44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17401L4660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589 864,61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666 296,30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646 835,44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"Материально-техническое обеспечение учреждений культуры и искусства"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2 850 098,84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1740220630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1740220630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17402L4670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17402L4670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деятельности учреждений культуры и искусства"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5 834 927,00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3 541 487,00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725 247,00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2 816 240,00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2 293 440,00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2 293 440,00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"Реконструкция, ремонт и благоустройство учреждений культуры и искусства"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13 221 761,40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13 221 761,40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8 821 761,40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4 054 002,59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реставрации, ремонту и благоустройству памятников и объектов культурного наследия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4 054 002,59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209 196,00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3 844 806,59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4 135 163,62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4 135 163,62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4 135 163,62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4 075 163,62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культуры, кинематографии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26 007 300,00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115 985,00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30 187,00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2 953,60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543 387 430,88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217 802 523,35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224 095 923,60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Пенсионное обеспечение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пенсии за выслугу лет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Социальное обеспечение населения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100 290 658,00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 Приморского края" на 2021-2027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обеспечению жильем молодых семей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08401L4970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08401L4970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"Педагоги и наставники"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семьи и детства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412 159 347,10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189 137 600,54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194 284 403,88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66 514 093,00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 отдыха, оздоровления и занятости детей и подростков"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"Предоставление мер социальной поддержки участникам образовательного процесса"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1520993090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1520993090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345 645 254,10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129 851 206,54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132 622 422,88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345 645 254,10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129 851 206,54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132 622 422,88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72 232 811,70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848 804,00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882 756,16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892 485,51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58 114 180,40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61 012 303,38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63 354 103,37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13 269 827,30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13 867 167,00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14 286 854,00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243 909 362,40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34 044 120,00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209 865 242,40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29 503 080,00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29 503 080,00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социальной политики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финансовой поддержки социально ориентированным некоммерческим организациям Уссурийского городского округа Приморского края"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поддержку социально ориентированным некоммерческим организациям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0540160090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0540160090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реализацию конкурсов социально значимых проектов социально ориентированных некоммерческих организаций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0540160100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Популяризация деятельности социально ориентированных некоммерческих организаций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0540220180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0540220180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семинаров для социально ориентированных некоммерческих организаций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0540221390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0540221390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 Приморского края" на 2021-2027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0840120780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0840120780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ФИЗИЧЕСКАЯ КУЛЬТУРА И СПОРТ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314 284 069,84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333 840 102,84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314 900 096,82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Массовый спорт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267 331 575,70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291 514 339,84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273 649 914,82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267 331 575,70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291 514 339,84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273 649 914,82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6 014 696,75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физкультурно-спортивной работы по месту жительства.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14202S2190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957 101,80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14202S2190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957 101,80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5 057 594,95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5 057 594,95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популяризации физической культуры и массового спорта"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лучших спортсменов, тренеров и руководителей физического воспитания и физкультурно-спортивных организаций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1440180040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1440180040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4 634 558,34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проведению официальных физкультурных и спортивных массовых мероприятий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1440220670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4 430 861,39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1440220670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4 430 861,39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физкультурно-спортивных занятий по месту жительства граждан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1440221120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203 696,95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1440221120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203 696,95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252 668 846,00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237 513 686,00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232 648 114,00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8 382 672,00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8 382 672,00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 - оплата труда, с учетом начислений на выплаты по оплате труда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175 896 800,00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180 032 100,00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183 549 200,00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175 896 800,00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180 032 100,00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183 549 200,00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"Привлечение населения Уссурийского городского округа Приморского края к занятиям физической культурой и спортом"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спортивных учреждений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1440421730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1440421730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Спорт высших достижений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46 952 494,14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популяризации физической культуры и массового спорта"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Государственная поддержка организаций, входящих в систему спортивной подготовки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14401L0810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14401L0810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46 582 258,00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46 582 258,00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прочие расходы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2 072 159,00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76 228,00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2 072 159,00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76 228,00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оплата труда, с учетом начислений на выплаты по оплате труда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39 030 054,00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40 137 063,00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41 057 413,00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39 030 054,00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40 137 063,00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41 057 413,00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коммунальные услуги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154057206К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ГОСУДАРСТВЕННОГО И МУНИЦИПАЛЬНОГО ДОЛГА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государственного внутреннего и муниципального долга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gridSpan w:val="5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62" w:type="dxa"/>
            <w:vAlign w:val="bottom"/>
            <w:textDirection w:val="lrTb"/>
            <w:noWrap w:val="false"/>
          </w:tcPr>
          <w:p>
            <w:pPr>
              <w:jc w:val="lef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Всего расходов: 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11 266 863 804,27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9 498 841 336,13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9 165 933 461,10</w:t>
            </w:r>
            <w:r/>
          </w:p>
        </w:tc>
      </w:tr>
    </w:tbl>
    <w:tbl>
      <w:tblPr>
        <w:tblStyle w:val="761"/>
        <w:tblW w:w="0" w:type="auto"/>
        <w:tblInd w:w="289" w:type="dxa"/>
        <w:tblLayout w:type="fixed"/>
        <w:tblLook w:val="04A0" w:firstRow="1" w:lastRow="0" w:firstColumn="1" w:lastColumn="0" w:noHBand="0" w:noVBand="1"/>
      </w:tblPr>
      <w:tblGrid>
        <w:gridCol w:w="8362"/>
        <w:gridCol w:w="1985"/>
        <w:gridCol w:w="1843"/>
        <w:gridCol w:w="1843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62" w:type="dxa"/>
            <w:vAlign w:val="bottom"/>
            <w:vMerge w:val="restart"/>
            <w:textDirection w:val="lrTb"/>
            <w:noWrap w:val="false"/>
          </w:tcPr>
          <w:p>
            <w:pPr>
              <w:pStyle w:val="680"/>
              <w:jc w:val="left"/>
              <w:spacing w:before="0" w:after="20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том числе условно утвержденные расходы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680"/>
              <w:contextualSpacing/>
              <w:jc w:val="right"/>
              <w:spacing w:before="0" w:after="0" w:afterAutospacing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98 000 000,00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212 000 000,00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62" w:type="dxa"/>
            <w:vAlign w:val="bottom"/>
            <w:vMerge w:val="restart"/>
            <w:textDirection w:val="lrTb"/>
            <w:noWrap w:val="false"/>
          </w:tcPr>
          <w:p>
            <w:pPr>
              <w:pStyle w:val="680"/>
              <w:contextualSpacing/>
              <w:jc w:val="left"/>
              <w:spacing w:before="0" w:after="200" w:line="240" w:lineRule="auto"/>
              <w:widowControl w:val="off"/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Итого расходов</w:t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11 266 863 804,27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9 596 841 336,13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9 377 933 461,10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r/>
      <w:r/>
    </w:p>
    <w:sectPr>
      <w:headerReference w:type="default" r:id="rId8"/>
      <w:footerReference w:type="default" r:id="rId9"/>
      <w:footnotePr/>
      <w:endnotePr/>
      <w:type w:val="nextPage"/>
      <w:pgSz w:w="16901" w:h="11950" w:orient="landscape"/>
      <w:pgMar w:top="1134" w:right="850" w:bottom="567" w:left="1701" w:header="720" w:footer="72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">
    <w:panose1 w:val="020B0502040504020204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0"/>
      <w:spacing w:before="0" w:after="0" w:line="240" w:lineRule="auto"/>
      <w:widowControl w:val="off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1"/>
      <w:jc w:val="center"/>
      <w:spacing w:before="0" w:after="200"/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Times New Roman" w:cs="Times New Roman"/>
      <w:color w:val="auto"/>
      <w:sz w:val="22"/>
      <w:szCs w:val="22"/>
      <w:lang w:val="ru-RU" w:eastAsia="ru-RU" w:bidi="ar-SA"/>
    </w:rPr>
  </w:style>
  <w:style w:type="paragraph" w:styleId="681">
    <w:name w:val="Heading 1"/>
    <w:basedOn w:val="68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2">
    <w:name w:val="Heading 2"/>
    <w:basedOn w:val="68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3">
    <w:name w:val="Heading 3"/>
    <w:basedOn w:val="68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4">
    <w:name w:val="Heading 4"/>
    <w:basedOn w:val="6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6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7">
    <w:name w:val="Heading 7"/>
    <w:basedOn w:val="6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6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9">
    <w:name w:val="Heading 9"/>
    <w:basedOn w:val="68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691">
    <w:name w:val="Heading 2 Char"/>
    <w:uiPriority w:val="9"/>
    <w:qFormat/>
    <w:rPr>
      <w:rFonts w:ascii="Arial" w:hAnsi="Arial" w:eastAsia="Arial" w:cs="Arial"/>
      <w:sz w:val="34"/>
    </w:rPr>
  </w:style>
  <w:style w:type="character" w:styleId="692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693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94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95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96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98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99">
    <w:name w:val="Title Char"/>
    <w:uiPriority w:val="10"/>
    <w:qFormat/>
    <w:rPr>
      <w:sz w:val="48"/>
      <w:szCs w:val="48"/>
    </w:rPr>
  </w:style>
  <w:style w:type="character" w:styleId="700">
    <w:name w:val="Subtitle Char"/>
    <w:uiPriority w:val="11"/>
    <w:qFormat/>
    <w:rPr>
      <w:sz w:val="24"/>
      <w:szCs w:val="24"/>
    </w:rPr>
  </w:style>
  <w:style w:type="character" w:styleId="701">
    <w:name w:val="Quote Char"/>
    <w:uiPriority w:val="29"/>
    <w:qFormat/>
    <w:rPr>
      <w:i/>
    </w:rPr>
  </w:style>
  <w:style w:type="character" w:styleId="702">
    <w:name w:val="Intense Quote Char"/>
    <w:uiPriority w:val="30"/>
    <w:qFormat/>
    <w:rPr>
      <w:i/>
    </w:rPr>
  </w:style>
  <w:style w:type="character" w:styleId="703">
    <w:name w:val="Header Char"/>
    <w:uiPriority w:val="99"/>
    <w:qFormat/>
  </w:style>
  <w:style w:type="character" w:styleId="704">
    <w:name w:val="Footer Char"/>
    <w:uiPriority w:val="99"/>
    <w:qFormat/>
  </w:style>
  <w:style w:type="character" w:styleId="705">
    <w:name w:val="Caption Char"/>
    <w:uiPriority w:val="99"/>
    <w:qFormat/>
  </w:style>
  <w:style w:type="character" w:styleId="706">
    <w:name w:val="Hyperlink"/>
    <w:uiPriority w:val="99"/>
    <w:unhideWhenUsed/>
    <w:rPr>
      <w:color w:val="0000ff" w:themeColor="hyperlink"/>
      <w:u w:val="single"/>
    </w:rPr>
  </w:style>
  <w:style w:type="character" w:styleId="707">
    <w:name w:val="Footnote Text Char"/>
    <w:uiPriority w:val="99"/>
    <w:qFormat/>
    <w:rPr>
      <w:sz w:val="18"/>
    </w:rPr>
  </w:style>
  <w:style w:type="character" w:styleId="708">
    <w:name w:val="footnote reference"/>
    <w:rPr>
      <w:vertAlign w:val="superscript"/>
    </w:rPr>
  </w:style>
  <w:style w:type="character" w:styleId="709">
    <w:name w:val="Footnote Characters"/>
    <w:uiPriority w:val="99"/>
    <w:unhideWhenUsed/>
    <w:qFormat/>
    <w:rPr>
      <w:vertAlign w:val="superscript"/>
    </w:rPr>
  </w:style>
  <w:style w:type="character" w:styleId="710">
    <w:name w:val="Endnote Text Char"/>
    <w:uiPriority w:val="99"/>
    <w:qFormat/>
    <w:rPr>
      <w:sz w:val="20"/>
    </w:rPr>
  </w:style>
  <w:style w:type="character" w:styleId="711">
    <w:name w:val="endnote reference"/>
    <w:rPr>
      <w:vertAlign w:val="superscript"/>
    </w:rPr>
  </w:style>
  <w:style w:type="character" w:styleId="712">
    <w:name w:val="Endnote Characters"/>
    <w:uiPriority w:val="99"/>
    <w:semiHidden/>
    <w:unhideWhenUsed/>
    <w:qFormat/>
    <w:rPr>
      <w:vertAlign w:val="superscript"/>
    </w:rPr>
  </w:style>
  <w:style w:type="character" w:styleId="713">
    <w:name w:val="Основной шрифт абзаца"/>
    <w:uiPriority w:val="1"/>
    <w:semiHidden/>
    <w:unhideWhenUsed/>
    <w:qFormat/>
  </w:style>
  <w:style w:type="character" w:styleId="714">
    <w:name w:val="Верхний колонтитул Знак"/>
    <w:basedOn w:val="713"/>
    <w:uiPriority w:val="99"/>
    <w:qFormat/>
  </w:style>
  <w:style w:type="character" w:styleId="715">
    <w:name w:val="Нижний колонтитул Знак"/>
    <w:basedOn w:val="713"/>
    <w:uiPriority w:val="99"/>
    <w:semiHidden/>
    <w:qFormat/>
  </w:style>
  <w:style w:type="character" w:styleId="716">
    <w:name w:val="Гиперссылка"/>
    <w:uiPriority w:val="99"/>
    <w:semiHidden/>
    <w:unhideWhenUsed/>
    <w:qFormat/>
    <w:rPr>
      <w:color w:val="0000ff"/>
      <w:u w:val="single"/>
    </w:rPr>
  </w:style>
  <w:style w:type="character" w:styleId="717">
    <w:name w:val="Просмотренная гиперссылка"/>
    <w:uiPriority w:val="99"/>
    <w:semiHidden/>
    <w:unhideWhenUsed/>
    <w:qFormat/>
    <w:rPr>
      <w:color w:val="800080"/>
      <w:u w:val="single"/>
    </w:rPr>
  </w:style>
  <w:style w:type="character" w:styleId="718" w:default="1">
    <w:name w:val="Default Paragraph Font"/>
    <w:uiPriority w:val="1"/>
    <w:semiHidden/>
    <w:unhideWhenUsed/>
    <w:qFormat/>
  </w:style>
  <w:style w:type="paragraph" w:styleId="719">
    <w:name w:val="Заголовок"/>
    <w:basedOn w:val="680"/>
    <w:next w:val="720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720">
    <w:name w:val="Body Text"/>
    <w:basedOn w:val="680"/>
    <w:pPr>
      <w:spacing w:before="0" w:after="140" w:line="276" w:lineRule="auto"/>
    </w:pPr>
  </w:style>
  <w:style w:type="paragraph" w:styleId="721">
    <w:name w:val="List"/>
    <w:basedOn w:val="720"/>
    <w:rPr>
      <w:rFonts w:cs="Noto Sans"/>
    </w:rPr>
  </w:style>
  <w:style w:type="paragraph" w:styleId="722">
    <w:name w:val="Caption"/>
    <w:basedOn w:val="680"/>
    <w:link w:val="7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23">
    <w:name w:val="Указатель"/>
    <w:basedOn w:val="680"/>
    <w:qFormat/>
    <w:pPr>
      <w:suppressLineNumbers/>
    </w:pPr>
    <w:rPr>
      <w:rFonts w:cs="Noto Sans"/>
    </w:rPr>
  </w:style>
  <w:style w:type="paragraph" w:styleId="724">
    <w:name w:val="List Paragraph"/>
    <w:basedOn w:val="680"/>
    <w:uiPriority w:val="34"/>
    <w:qFormat/>
    <w:pPr>
      <w:contextualSpacing/>
      <w:ind w:left="720" w:firstLine="0"/>
      <w:spacing w:before="0" w:after="0"/>
    </w:pPr>
  </w:style>
  <w:style w:type="paragraph" w:styleId="725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26">
    <w:name w:val="Title"/>
    <w:basedOn w:val="680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27">
    <w:name w:val="Subtitle"/>
    <w:basedOn w:val="680"/>
    <w:uiPriority w:val="11"/>
    <w:qFormat/>
    <w:pPr>
      <w:spacing w:before="200" w:after="200"/>
    </w:pPr>
    <w:rPr>
      <w:sz w:val="24"/>
      <w:szCs w:val="24"/>
    </w:rPr>
  </w:style>
  <w:style w:type="paragraph" w:styleId="728">
    <w:name w:val="Quote"/>
    <w:basedOn w:val="680"/>
    <w:uiPriority w:val="29"/>
    <w:qFormat/>
    <w:pPr>
      <w:ind w:left="720" w:right="720" w:firstLine="0"/>
    </w:pPr>
    <w:rPr>
      <w:i/>
    </w:rPr>
  </w:style>
  <w:style w:type="paragraph" w:styleId="729">
    <w:name w:val="Intense Quote"/>
    <w:basedOn w:val="680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30">
    <w:name w:val="Колонтитул"/>
    <w:basedOn w:val="680"/>
    <w:qFormat/>
  </w:style>
  <w:style w:type="paragraph" w:styleId="731">
    <w:name w:val="Header"/>
    <w:basedOn w:val="680"/>
    <w:uiPriority w:val="99"/>
    <w:unhideWhenUsed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732">
    <w:name w:val="Footer"/>
    <w:basedOn w:val="680"/>
    <w:uiPriority w:val="99"/>
    <w:semiHidden/>
    <w:unhideWhenUsed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733">
    <w:name w:val="footnote text"/>
    <w:basedOn w:val="680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34">
    <w:name w:val="endnote text"/>
    <w:basedOn w:val="680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35">
    <w:name w:val="toc 1"/>
    <w:basedOn w:val="680"/>
    <w:uiPriority w:val="39"/>
    <w:unhideWhenUsed/>
    <w:pPr>
      <w:ind w:left="0" w:right="0" w:firstLine="0"/>
      <w:spacing w:before="0" w:after="57"/>
    </w:pPr>
  </w:style>
  <w:style w:type="paragraph" w:styleId="736">
    <w:name w:val="toc 2"/>
    <w:basedOn w:val="680"/>
    <w:uiPriority w:val="39"/>
    <w:unhideWhenUsed/>
    <w:pPr>
      <w:ind w:left="283" w:right="0" w:firstLine="0"/>
      <w:spacing w:before="0" w:after="57"/>
    </w:pPr>
  </w:style>
  <w:style w:type="paragraph" w:styleId="737">
    <w:name w:val="toc 3"/>
    <w:basedOn w:val="680"/>
    <w:uiPriority w:val="39"/>
    <w:unhideWhenUsed/>
    <w:pPr>
      <w:ind w:left="567" w:right="0" w:firstLine="0"/>
      <w:spacing w:before="0" w:after="57"/>
    </w:pPr>
  </w:style>
  <w:style w:type="paragraph" w:styleId="738">
    <w:name w:val="toc 4"/>
    <w:basedOn w:val="680"/>
    <w:uiPriority w:val="39"/>
    <w:unhideWhenUsed/>
    <w:pPr>
      <w:ind w:left="850" w:right="0" w:firstLine="0"/>
      <w:spacing w:before="0" w:after="57"/>
    </w:pPr>
  </w:style>
  <w:style w:type="paragraph" w:styleId="739">
    <w:name w:val="toc 5"/>
    <w:basedOn w:val="680"/>
    <w:uiPriority w:val="39"/>
    <w:unhideWhenUsed/>
    <w:pPr>
      <w:ind w:left="1134" w:right="0" w:firstLine="0"/>
      <w:spacing w:before="0" w:after="57"/>
    </w:pPr>
  </w:style>
  <w:style w:type="paragraph" w:styleId="740">
    <w:name w:val="toc 6"/>
    <w:basedOn w:val="680"/>
    <w:uiPriority w:val="39"/>
    <w:unhideWhenUsed/>
    <w:pPr>
      <w:ind w:left="1417" w:right="0" w:firstLine="0"/>
      <w:spacing w:before="0" w:after="57"/>
    </w:pPr>
  </w:style>
  <w:style w:type="paragraph" w:styleId="741">
    <w:name w:val="toc 7"/>
    <w:basedOn w:val="680"/>
    <w:uiPriority w:val="39"/>
    <w:unhideWhenUsed/>
    <w:pPr>
      <w:ind w:left="1701" w:right="0" w:firstLine="0"/>
      <w:spacing w:before="0" w:after="57"/>
    </w:pPr>
  </w:style>
  <w:style w:type="paragraph" w:styleId="742">
    <w:name w:val="toc 8"/>
    <w:basedOn w:val="680"/>
    <w:uiPriority w:val="39"/>
    <w:unhideWhenUsed/>
    <w:pPr>
      <w:ind w:left="1984" w:right="0" w:firstLine="0"/>
      <w:spacing w:before="0" w:after="57"/>
    </w:pPr>
  </w:style>
  <w:style w:type="paragraph" w:styleId="743">
    <w:name w:val="toc 9"/>
    <w:basedOn w:val="680"/>
    <w:uiPriority w:val="39"/>
    <w:unhideWhenUsed/>
    <w:pPr>
      <w:ind w:left="2268" w:right="0" w:firstLine="0"/>
      <w:spacing w:before="0" w:after="57"/>
    </w:pPr>
  </w:style>
  <w:style w:type="paragraph" w:styleId="744">
    <w:name w:val="Index Heading"/>
    <w:basedOn w:val="719"/>
  </w:style>
  <w:style w:type="paragraph" w:styleId="745">
    <w:name w:val="TOC Heading"/>
    <w:uiPriority w:val="39"/>
    <w:unhideWhenUsed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46">
    <w:name w:val="table of figures"/>
    <w:basedOn w:val="680"/>
    <w:uiPriority w:val="99"/>
    <w:unhideWhenUsed/>
    <w:qFormat/>
    <w:pPr>
      <w:spacing w:before="0" w:after="0" w:afterAutospacing="0"/>
    </w:pPr>
  </w:style>
  <w:style w:type="paragraph" w:styleId="747">
    <w:name w:val="xl86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48">
    <w:name w:val="xl87"/>
    <w:basedOn w:val="680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749">
    <w:name w:val="xl88"/>
    <w:basedOn w:val="68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0">
    <w:name w:val="xl89"/>
    <w:basedOn w:val="680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1">
    <w:name w:val="xl90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2">
    <w:name w:val="xl91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3">
    <w:name w:val="xl92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4">
    <w:name w:val="xl93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5">
    <w:name w:val="xl94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6">
    <w:name w:val="xl95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57">
    <w:name w:val="xl96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8">
    <w:name w:val="xl97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numbering" w:styleId="759">
    <w:name w:val="Нет списка"/>
    <w:uiPriority w:val="99"/>
    <w:semiHidden/>
    <w:unhideWhenUsed/>
    <w:qFormat/>
  </w:style>
  <w:style w:type="numbering" w:styleId="760" w:default="1">
    <w:name w:val="No List"/>
    <w:uiPriority w:val="99"/>
    <w:semiHidden/>
    <w:unhideWhenUsed/>
    <w:qFormat/>
  </w:style>
  <w:style w:type="table" w:styleId="761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2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64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65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6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8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0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cPr>
        <w:shd w:val="clear" w:color="ffffff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5d8dc2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4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</w:tcBorders>
      </w:tcPr>
    </w:tblStylePr>
  </w:style>
  <w:style w:type="table" w:styleId="792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a59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</w:tcBorders>
      </w:tcPr>
    </w:tblStylePr>
  </w:style>
  <w:style w:type="table" w:styleId="793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</w:tcBorders>
      </w:tcPr>
    </w:tblStylePr>
  </w:style>
  <w:style w:type="table" w:styleId="794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5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6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</w:style>
  <w:style w:type="table" w:styleId="79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dc5e0" w:themeFill="accent1" w:themeFillTint="75"/>
      </w:tcPr>
    </w:tblStylePr>
    <w:tblStylePr w:type="band1Vert"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cPr>
        <w:shd w:val="clear" w:color="ffffff" w:fill="4f81bd" w:themeFill="accent1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e1adac" w:themeFill="accent2" w:themeFillTint="75"/>
      </w:tcPr>
    </w:tblStylePr>
    <w:tblStylePr w:type="band1Vert"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cPr>
        <w:shd w:val="clear" w:color="ffffff" w:fill="c0504d" w:themeFill="accent2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d1dfb2" w:themeFill="accent3" w:themeFillTint="75"/>
      </w:tcPr>
    </w:tblStylePr>
    <w:tblStylePr w:type="band1Vert"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cPr>
        <w:shd w:val="clear" w:color="ffffff" w:fill="9bbb59" w:themeFill="accent3"/>
        <w:tcBorders>
          <w:top w:val="single" w:color="000000" w:themeColor="light1" w:sz="4" w:space="0"/>
        </w:tcBorders>
      </w:tcPr>
    </w:tblStylePr>
  </w:style>
  <w:style w:type="table" w:styleId="80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c4b7d4" w:themeFill="accent4" w:themeFillTint="75"/>
      </w:tcPr>
    </w:tblStylePr>
    <w:tblStylePr w:type="band1Vert"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cPr>
        <w:shd w:val="clear" w:color="ffffff" w:fill="8064a2" w:themeFill="accent4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bd9e4" w:themeFill="accent5" w:themeFillTint="75"/>
      </w:tcPr>
    </w:tblStylePr>
    <w:tblStylePr w:type="band1Vert"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cPr>
        <w:shd w:val="clear" w:color="ffffff" w:fill="4bacc6" w:themeFill="accent5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bcda8" w:themeFill="accent6" w:themeFillTint="75"/>
      </w:tcPr>
    </w:tblStylePr>
    <w:tblStylePr w:type="band1Vert"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cPr>
        <w:shd w:val="clear" w:color="ffffff" w:fill="f79646" w:themeFill="accent6"/>
        <w:tcBorders>
          <w:top w:val="single" w:color="000000" w:themeColor="light1" w:sz="4" w:space="0"/>
        </w:tcBorders>
      </w:tcPr>
    </w:tblStylePr>
  </w:style>
  <w:style w:type="table" w:styleId="803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color w:val="404040" w:themeColor="text1" w:themeTint="80" w:themeShade="95"/>
        <w:sz w:val="22"/>
      </w:rPr>
    </w:tblStylePr>
  </w:style>
  <w:style w:type="table" w:styleId="80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color w:val="404040" w:themeColor="accent1" w:themeTint="80" w:themeShade="95"/>
        <w:sz w:val="22"/>
      </w:rPr>
    </w:tblStylePr>
  </w:style>
  <w:style w:type="table" w:styleId="80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color w:val="404040" w:themeColor="accent2" w:themeTint="97" w:themeShade="95"/>
        <w:sz w:val="22"/>
      </w:rPr>
    </w:tblStylePr>
  </w:style>
  <w:style w:type="table" w:styleId="80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color w:val="404040" w:themeColor="accent3" w:themeTint="FE" w:themeShade="95"/>
        <w:sz w:val="22"/>
      </w:rPr>
    </w:tblStylePr>
  </w:style>
  <w:style w:type="table" w:styleId="80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color w:val="404040" w:themeColor="accent4" w:themeTint="9A" w:themeShade="95"/>
        <w:sz w:val="22"/>
      </w:rPr>
    </w:tblStylePr>
  </w:style>
  <w:style w:type="table" w:styleId="80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80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810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</w:tblStylePr>
    <w:tblStylePr w:type="firstCol">
      <w:rPr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25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26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27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28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29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30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31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d99694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3d69b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b2a1c6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91cddc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9bf90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2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5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sz="4" w:space="0"/>
        </w:tcBorders>
      </w:tcPr>
    </w:tblStylePr>
  </w:style>
  <w:style w:type="table" w:styleId="85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sz="4" w:space="0"/>
        </w:tcBorders>
      </w:tcPr>
    </w:tblStylePr>
  </w:style>
  <w:style w:type="table" w:styleId="85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sz="4" w:space="0"/>
        </w:tcBorders>
      </w:tcPr>
    </w:tblStylePr>
  </w:style>
  <w:style w:type="table" w:styleId="85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sz="4" w:space="0"/>
        </w:tcBorders>
      </w:tcPr>
    </w:tblStylePr>
  </w:style>
  <w:style w:type="table" w:styleId="85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sz="4" w:space="0"/>
        </w:tcBorders>
      </w:tcPr>
    </w:tblStylePr>
  </w:style>
  <w:style w:type="table" w:styleId="859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4a4a4a" w:themeColor="text1" w:themeTint="80" w:themeShade="95"/>
        <w:sz w:val="22"/>
      </w:rPr>
    </w:tblStylePr>
  </w:style>
  <w:style w:type="table" w:styleId="86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2a4b71" w:themeColor="accent1" w:themeShade="95"/>
        <w:sz w:val="22"/>
      </w:rPr>
    </w:tblStylePr>
  </w:style>
  <w:style w:type="table" w:styleId="86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9c3a37" w:themeColor="accent2" w:themeTint="97" w:themeShade="95"/>
        <w:sz w:val="22"/>
      </w:rPr>
    </w:tblStylePr>
  </w:style>
  <w:style w:type="table" w:styleId="86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7c983f" w:themeColor="accent3" w:themeTint="98" w:themeShade="95"/>
        <w:sz w:val="22"/>
      </w:rPr>
    </w:tblStylePr>
  </w:style>
  <w:style w:type="table" w:styleId="86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664f82" w:themeColor="accent4" w:themeTint="9A" w:themeShade="95"/>
        <w:sz w:val="22"/>
      </w:rPr>
    </w:tblStylePr>
  </w:style>
  <w:style w:type="table" w:styleId="86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338aa0" w:themeColor="accent5" w:themeTint="9A" w:themeShade="95"/>
        <w:sz w:val="22"/>
      </w:rPr>
    </w:tblStylePr>
  </w:style>
  <w:style w:type="table" w:styleId="86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d9680c" w:themeColor="accent6" w:themeTint="98" w:themeShade="95"/>
        <w:sz w:val="22"/>
      </w:rPr>
    </w:tblStylePr>
  </w:style>
  <w:style w:type="table" w:styleId="86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6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dc2" w:themeFill="accent1" w:themeFillTint="EA"/>
      </w:tcPr>
    </w:tblStylePr>
  </w:style>
  <w:style w:type="table" w:styleId="86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4" w:themeFill="accent2" w:themeFillTint="97"/>
      </w:tcPr>
    </w:tblStylePr>
  </w:style>
  <w:style w:type="table" w:styleId="86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bba59" w:themeFill="accent3" w:themeFillTint="FE"/>
      </w:tcPr>
    </w:tblStylePr>
  </w:style>
  <w:style w:type="table" w:styleId="87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87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87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87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7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dc2" w:themeFill="accent1" w:themeFillTint="EA"/>
      </w:tcPr>
    </w:tblStylePr>
  </w:style>
  <w:style w:type="table" w:styleId="87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4" w:themeFill="accent2" w:themeFillTint="97"/>
      </w:tcPr>
    </w:tblStylePr>
  </w:style>
  <w:style w:type="table" w:styleId="87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bba59" w:themeFill="accent3" w:themeFillTint="FE"/>
      </w:tcPr>
    </w:tblStylePr>
  </w:style>
  <w:style w:type="table" w:styleId="87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87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87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880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881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2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2" w:sz="12" w:space="0"/>
        </w:tcBorders>
      </w:tcPr>
    </w:tblStylePr>
  </w:style>
  <w:style w:type="table" w:styleId="883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3" w:sz="12" w:space="0"/>
        </w:tcBorders>
      </w:tcPr>
    </w:tblStylePr>
  </w:style>
  <w:style w:type="table" w:styleId="884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4" w:sz="12" w:space="0"/>
        </w:tcBorders>
      </w:tcPr>
    </w:tblStylePr>
  </w:style>
  <w:style w:type="table" w:styleId="885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5" w:sz="12" w:space="0"/>
        </w:tcBorders>
      </w:tcPr>
    </w:tblStylePr>
  </w:style>
  <w:style w:type="table" w:styleId="886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6" w:sz="12" w:space="0"/>
        </w:tcBorders>
      </w:tcPr>
    </w:tblStylePr>
  </w:style>
  <w:style w:type="table" w:styleId="88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14:33:20</dc:subject>
  <dc:creator>Keysystems.DWH.ReportDesigner</dc:creator>
  <dc:description/>
  <dc:language>ru-RU</dc:language>
  <cp:revision>26</cp:revision>
  <dcterms:created xsi:type="dcterms:W3CDTF">2024-03-07T05:09:00Z</dcterms:created>
  <dcterms:modified xsi:type="dcterms:W3CDTF">2025-01-31T07:45:15Z</dcterms:modified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