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header3.xml" ContentType="application/vnd.openxmlformats-officedocument.wordprocessingml.header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tbl>
      <w:tblPr>
        <w:tblW w:w="7513" w:type="dxa"/>
        <w:tblInd w:w="7622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7513"/>
      </w:tblGrid>
      <w:tr>
        <w:tblPrEx/>
        <w:trPr>
          <w:trHeight w:val="215"/>
        </w:trPr>
        <w:tc>
          <w:tcPr>
            <w:shd w:val="clear" w:color="auto" w:fill="auto"/>
            <w:tcW w:w="7513" w:type="dxa"/>
            <w:vAlign w:val="bottom"/>
            <w:textDirection w:val="lrTb"/>
            <w:noWrap w:val="false"/>
          </w:tcPr>
          <w:p>
            <w:pPr>
              <w:pStyle w:val="675"/>
              <w:contextualSpacing/>
              <w:ind w:left="0" w:right="113" w:firstLine="2835"/>
              <w:jc w:val="left"/>
              <w:spacing w:before="0" w:after="0" w:line="240" w:lineRule="auto"/>
              <w:widowControl w:val="off"/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eastAsia="ru-RU"/>
              </w:rPr>
              <w:t xml:space="preserve">Приложение 3</w:t>
            </w:r>
            <w:r/>
          </w:p>
        </w:tc>
      </w:tr>
      <w:tr>
        <w:tblPrEx/>
        <w:trPr>
          <w:trHeight w:val="215"/>
        </w:trPr>
        <w:tc>
          <w:tcPr>
            <w:shd w:val="clear" w:color="auto" w:fill="auto"/>
            <w:tcW w:w="7513" w:type="dxa"/>
            <w:vAlign w:val="bottom"/>
            <w:textDirection w:val="lrTb"/>
            <w:noWrap w:val="false"/>
          </w:tcPr>
          <w:p>
            <w:pPr>
              <w:pStyle w:val="675"/>
              <w:contextualSpacing/>
              <w:ind w:left="0" w:right="0" w:firstLine="0"/>
              <w:spacing w:before="0" w:after="0" w:line="240" w:lineRule="auto"/>
              <w:widowControl w:val="off"/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eastAsia="ru-RU"/>
              </w:rPr>
              <w:t xml:space="preserve">                                         </w:t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eastAsia="ru-RU"/>
              </w:rPr>
              <w:t xml:space="preserve">к решению Думы</w:t>
            </w:r>
            <w:r/>
          </w:p>
        </w:tc>
      </w:tr>
      <w:tr>
        <w:tblPrEx/>
        <w:trPr>
          <w:trHeight w:val="215"/>
        </w:trPr>
        <w:tc>
          <w:tcPr>
            <w:shd w:val="clear" w:color="auto" w:fill="auto"/>
            <w:tcW w:w="7513" w:type="dxa"/>
            <w:vAlign w:val="bottom"/>
            <w:textDirection w:val="lrTb"/>
            <w:noWrap w:val="false"/>
          </w:tcPr>
          <w:p>
            <w:pPr>
              <w:pStyle w:val="675"/>
              <w:contextualSpacing/>
              <w:ind w:left="0" w:right="0" w:firstLine="0"/>
              <w:spacing w:before="0" w:after="0" w:line="240" w:lineRule="auto"/>
              <w:widowControl w:val="off"/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eastAsia="ru-RU"/>
              </w:rPr>
              <w:t xml:space="preserve">                                         </w:t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eastAsia="ru-RU"/>
              </w:rPr>
              <w:t xml:space="preserve">Уссурийского городского округа</w:t>
            </w:r>
            <w:r/>
          </w:p>
        </w:tc>
      </w:tr>
      <w:tr>
        <w:tblPrEx/>
        <w:trPr>
          <w:trHeight w:val="215"/>
        </w:trPr>
        <w:tc>
          <w:tcPr>
            <w:shd w:val="clear" w:color="auto" w:fill="auto"/>
            <w:tcW w:w="7513" w:type="dxa"/>
            <w:vAlign w:val="bottom"/>
            <w:textDirection w:val="lrTb"/>
            <w:noWrap w:val="false"/>
          </w:tcPr>
          <w:p>
            <w:pPr>
              <w:pStyle w:val="675"/>
              <w:contextualSpacing/>
              <w:ind w:left="0" w:right="0" w:firstLine="0"/>
              <w:spacing w:before="0" w:after="0" w:line="240" w:lineRule="auto"/>
              <w:widowControl w:val="off"/>
            </w:pPr>
            <w:r>
              <w:t xml:space="preserve">                                                         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Приморского края</w:t>
            </w:r>
            <w:r/>
          </w:p>
        </w:tc>
      </w:tr>
      <w:tr>
        <w:tblPrEx/>
        <w:trPr>
          <w:trHeight w:val="215"/>
        </w:trPr>
        <w:tc>
          <w:tcPr>
            <w:shd w:val="clear" w:color="auto" w:fill="auto"/>
            <w:tcW w:w="7513" w:type="dxa"/>
            <w:vAlign w:val="bottom"/>
            <w:textDirection w:val="lrTb"/>
            <w:noWrap w:val="false"/>
          </w:tcPr>
          <w:p>
            <w:pPr>
              <w:pStyle w:val="675"/>
              <w:contextualSpacing/>
              <w:ind w:left="0" w:right="0" w:firstLine="0"/>
              <w:spacing w:before="0" w:after="0" w:line="240" w:lineRule="auto"/>
              <w:widowControl w:val="off"/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eastAsia="ru-RU"/>
              </w:rPr>
              <w:t xml:space="preserve">                                         </w:t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eastAsia="ru-RU"/>
              </w:rPr>
              <w:t xml:space="preserve">от  №</w:t>
            </w:r>
            <w:r/>
          </w:p>
        </w:tc>
      </w:tr>
      <w:tr>
        <w:tblPrEx/>
        <w:trPr>
          <w:trHeight w:val="215" w:hRule="exact"/>
        </w:trPr>
        <w:tc>
          <w:tcPr>
            <w:shd w:val="clear" w:color="auto" w:fill="auto"/>
            <w:tcW w:w="7513" w:type="dxa"/>
            <w:vAlign w:val="bottom"/>
            <w:textDirection w:val="lrTb"/>
            <w:noWrap w:val="false"/>
          </w:tcPr>
          <w:p>
            <w:pPr>
              <w:pStyle w:val="675"/>
              <w:contextualSpacing/>
              <w:ind w:left="0" w:right="0" w:firstLine="0"/>
              <w:spacing w:before="0"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eastAsia="ru-RU"/>
              </w:rPr>
            </w:r>
          </w:p>
        </w:tc>
      </w:tr>
      <w:tr>
        <w:tblPrEx/>
        <w:trPr>
          <w:trHeight w:val="215"/>
        </w:trPr>
        <w:tc>
          <w:tcPr>
            <w:shd w:val="clear" w:color="auto" w:fill="auto"/>
            <w:tcW w:w="7513" w:type="dxa"/>
            <w:vAlign w:val="bottom"/>
            <w:textDirection w:val="lrTb"/>
            <w:noWrap w:val="false"/>
          </w:tcPr>
          <w:p>
            <w:pPr>
              <w:pStyle w:val="675"/>
              <w:contextualSpacing/>
              <w:ind w:left="0" w:right="113" w:firstLine="2891"/>
              <w:jc w:val="left"/>
              <w:spacing w:before="0" w:after="0" w:line="240" w:lineRule="auto"/>
              <w:widowControl w:val="off"/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eastAsia="ru-RU"/>
              </w:rPr>
              <w:t xml:space="preserve">«Приложение 3</w:t>
            </w:r>
            <w:r/>
          </w:p>
        </w:tc>
      </w:tr>
      <w:tr>
        <w:tblPrEx/>
        <w:trPr>
          <w:trHeight w:val="300"/>
        </w:trPr>
        <w:tc>
          <w:tcPr>
            <w:shd w:val="clear" w:color="auto" w:fill="auto"/>
            <w:tcW w:w="7513" w:type="dxa"/>
            <w:vAlign w:val="bottom"/>
            <w:textDirection w:val="lrTb"/>
            <w:noWrap w:val="false"/>
          </w:tcPr>
          <w:p>
            <w:pPr>
              <w:pStyle w:val="675"/>
              <w:contextualSpacing/>
              <w:ind w:left="0" w:right="0" w:firstLine="0"/>
              <w:spacing w:before="0" w:after="0" w:line="240" w:lineRule="auto"/>
              <w:widowControl w:val="off"/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eastAsia="ru-RU"/>
              </w:rPr>
              <w:t xml:space="preserve">                                         </w:t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eastAsia="ru-RU"/>
              </w:rPr>
              <w:t xml:space="preserve">к решению Думы</w:t>
            </w:r>
            <w:r/>
          </w:p>
        </w:tc>
      </w:tr>
      <w:tr>
        <w:tblPrEx/>
        <w:trPr>
          <w:trHeight w:val="330"/>
        </w:trPr>
        <w:tc>
          <w:tcPr>
            <w:shd w:val="clear" w:color="auto" w:fill="auto"/>
            <w:tcW w:w="7513" w:type="dxa"/>
            <w:vAlign w:val="bottom"/>
            <w:textDirection w:val="lrTb"/>
            <w:noWrap w:val="false"/>
          </w:tcPr>
          <w:p>
            <w:pPr>
              <w:pStyle w:val="675"/>
              <w:contextualSpacing/>
              <w:ind w:left="0" w:right="0" w:firstLine="0"/>
              <w:spacing w:before="0" w:after="0" w:line="240" w:lineRule="auto"/>
              <w:widowControl w:val="off"/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eastAsia="ru-RU"/>
              </w:rPr>
              <w:t xml:space="preserve">                                         </w:t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eastAsia="ru-RU"/>
              </w:rPr>
              <w:t xml:space="preserve">Уссурийского городского округа</w:t>
            </w:r>
            <w:r/>
          </w:p>
        </w:tc>
      </w:tr>
      <w:tr>
        <w:tblPrEx/>
        <w:trPr>
          <w:trHeight w:val="330"/>
        </w:trPr>
        <w:tc>
          <w:tcPr>
            <w:shd w:val="clear" w:color="auto" w:fill="auto"/>
            <w:tcW w:w="7513" w:type="dxa"/>
            <w:vAlign w:val="bottom"/>
            <w:textDirection w:val="lrTb"/>
            <w:noWrap w:val="false"/>
          </w:tcPr>
          <w:p>
            <w:pPr>
              <w:pStyle w:val="675"/>
              <w:contextualSpacing/>
              <w:ind w:left="0" w:right="0" w:firstLine="0"/>
              <w:spacing w:before="0" w:after="0" w:line="240" w:lineRule="auto"/>
              <w:widowControl w:val="o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Приморского края</w:t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271"/>
        </w:trPr>
        <w:tc>
          <w:tcPr>
            <w:shd w:val="clear" w:color="auto" w:fill="auto"/>
            <w:tcW w:w="7513" w:type="dxa"/>
            <w:vAlign w:val="bottom"/>
            <w:textDirection w:val="lrTb"/>
            <w:noWrap w:val="false"/>
          </w:tcPr>
          <w:p>
            <w:pPr>
              <w:pStyle w:val="675"/>
              <w:contextualSpacing/>
              <w:ind w:left="0" w:right="0" w:firstLine="0"/>
              <w:spacing w:before="0" w:after="0" w:line="240" w:lineRule="auto"/>
              <w:widowControl w:val="off"/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eastAsia="ru-RU"/>
              </w:rPr>
              <w:t xml:space="preserve">                                         </w:t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eastAsia="ru-RU"/>
              </w:rPr>
              <w:t xml:space="preserve">от 19 декабря 2024 года № 93-НПА</w:t>
            </w:r>
            <w:r/>
          </w:p>
        </w:tc>
      </w:tr>
    </w:tbl>
    <w:p>
      <w:pPr>
        <w:pStyle w:val="675"/>
        <w:contextualSpacing/>
        <w:ind w:left="0" w:right="0" w:firstLine="0"/>
        <w:jc w:val="center"/>
        <w:spacing w:before="0" w:after="0" w:line="240" w:lineRule="auto"/>
        <w:widowControl w:val="off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675"/>
        <w:contextualSpacing/>
        <w:ind w:left="0" w:right="0" w:firstLine="0"/>
        <w:jc w:val="center"/>
        <w:spacing w:before="0" w:after="0" w:line="240" w:lineRule="auto"/>
        <w:widowControl w:val="off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Объемы доходов бюджета Уссурийского городского округа Приморского края на 2025 год и плановый период 2026 и 2027 годов</w:t>
      </w:r>
      <w:r>
        <w:rPr>
          <w:rFonts w:ascii="Times New Roman" w:hAnsi="Times New Roman"/>
          <w:sz w:val="24"/>
          <w:szCs w:val="24"/>
        </w:rPr>
      </w:r>
    </w:p>
    <w:p>
      <w:pPr>
        <w:pStyle w:val="675"/>
        <w:contextualSpacing/>
        <w:ind w:left="0" w:right="0" w:firstLine="0"/>
        <w:jc w:val="right"/>
        <w:spacing w:before="0" w:after="0" w:line="240" w:lineRule="auto"/>
        <w:widowControl w:val="off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рублей</w:t>
      </w:r>
      <w:r>
        <w:rPr>
          <w:rFonts w:ascii="Times New Roman" w:hAnsi="Times New Roman"/>
          <w:sz w:val="24"/>
          <w:szCs w:val="24"/>
        </w:rPr>
      </w:r>
    </w:p>
    <w:tbl>
      <w:tblPr>
        <w:tblW w:w="14922" w:type="dxa"/>
        <w:tblInd w:w="109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2692"/>
        <w:gridCol w:w="6236"/>
        <w:gridCol w:w="2126"/>
        <w:gridCol w:w="1918"/>
        <w:gridCol w:w="1951"/>
      </w:tblGrid>
      <w:tr>
        <w:tblPrEx/>
        <w:trPr>
          <w:trHeight w:val="20"/>
        </w:trPr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vAlign w:val="center"/>
            <w:vMerge w:val="restart"/>
            <w:textDirection w:val="lrTb"/>
            <w:noWrap w:val="false"/>
          </w:tcPr>
          <w:p>
            <w:pPr>
              <w:pStyle w:val="675"/>
              <w:contextualSpacing/>
              <w:ind w:left="0" w:right="0" w:firstLine="0"/>
              <w:jc w:val="center"/>
              <w:spacing w:before="0"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Код бюджетной классификации Российской Федерации</w:t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6236" w:type="dxa"/>
            <w:vAlign w:val="center"/>
            <w:vMerge w:val="restart"/>
            <w:textDirection w:val="lrTb"/>
            <w:noWrap w:val="false"/>
          </w:tcPr>
          <w:p>
            <w:pPr>
              <w:pStyle w:val="675"/>
              <w:contextualSpacing/>
              <w:ind w:left="0" w:right="0" w:firstLine="0"/>
              <w:jc w:val="center"/>
              <w:spacing w:before="0"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Наименование</w:t>
            </w:r>
            <w:r>
              <w:rPr>
                <w:rFonts w:ascii="Times New Roman" w:hAnsi="Times New Roman"/>
              </w:rPr>
            </w:r>
          </w:p>
        </w:tc>
        <w:tc>
          <w:tcPr>
            <w:gridSpan w:val="3"/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5994" w:type="dxa"/>
            <w:vAlign w:val="center"/>
            <w:textDirection w:val="lrTb"/>
            <w:noWrap w:val="false"/>
          </w:tcPr>
          <w:p>
            <w:pPr>
              <w:pStyle w:val="675"/>
              <w:contextualSpacing/>
              <w:ind w:left="0" w:right="0" w:firstLine="0"/>
              <w:jc w:val="center"/>
              <w:spacing w:before="0"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Объемы доходов</w:t>
            </w:r>
            <w:r>
              <w:rPr>
                <w:rFonts w:ascii="Times New Roman" w:hAnsi="Times New Roman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vAlign w:val="center"/>
            <w:vMerge w:val="continue"/>
            <w:textDirection w:val="lrTb"/>
            <w:noWrap w:val="false"/>
          </w:tcPr>
          <w:p>
            <w:pPr>
              <w:pStyle w:val="675"/>
              <w:contextualSpacing/>
              <w:ind w:left="0" w:right="0" w:firstLine="0"/>
              <w:jc w:val="center"/>
              <w:spacing w:before="0"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6236" w:type="dxa"/>
            <w:vAlign w:val="center"/>
            <w:vMerge w:val="continue"/>
            <w:textDirection w:val="lrTb"/>
            <w:noWrap w:val="false"/>
          </w:tcPr>
          <w:p>
            <w:pPr>
              <w:pStyle w:val="675"/>
              <w:contextualSpacing/>
              <w:ind w:left="0" w:right="0" w:firstLine="0"/>
              <w:jc w:val="center"/>
              <w:spacing w:before="0"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vAlign w:val="center"/>
            <w:textDirection w:val="lrTb"/>
            <w:noWrap w:val="false"/>
          </w:tcPr>
          <w:p>
            <w:pPr>
              <w:pStyle w:val="675"/>
              <w:contextualSpacing/>
              <w:ind w:left="0" w:right="0" w:firstLine="0"/>
              <w:jc w:val="center"/>
              <w:spacing w:before="0"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2025 год</w:t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1918" w:type="dxa"/>
            <w:vAlign w:val="center"/>
            <w:textDirection w:val="lrTb"/>
            <w:noWrap w:val="false"/>
          </w:tcPr>
          <w:p>
            <w:pPr>
              <w:pStyle w:val="675"/>
              <w:contextualSpacing/>
              <w:ind w:left="0" w:right="0" w:firstLine="0"/>
              <w:jc w:val="center"/>
              <w:spacing w:before="0"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2026 год</w:t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1951" w:type="dxa"/>
            <w:vAlign w:val="center"/>
            <w:textDirection w:val="lrTb"/>
            <w:noWrap w:val="false"/>
          </w:tcPr>
          <w:p>
            <w:pPr>
              <w:pStyle w:val="675"/>
              <w:contextualSpacing/>
              <w:ind w:left="0" w:right="0" w:firstLine="0"/>
              <w:jc w:val="center"/>
              <w:spacing w:before="0"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2027 год</w:t>
            </w:r>
            <w:r>
              <w:rPr>
                <w:rFonts w:ascii="Times New Roman" w:hAnsi="Times New Roman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vAlign w:val="bottom"/>
            <w:textDirection w:val="lrTb"/>
            <w:noWrap w:val="false"/>
          </w:tcPr>
          <w:p>
            <w:pPr>
              <w:pStyle w:val="675"/>
              <w:contextualSpacing/>
              <w:ind w:left="0" w:right="0" w:firstLine="0"/>
              <w:jc w:val="center"/>
              <w:spacing w:before="0"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6236" w:type="dxa"/>
            <w:vAlign w:val="bottom"/>
            <w:textDirection w:val="lrTb"/>
            <w:noWrap w:val="false"/>
          </w:tcPr>
          <w:p>
            <w:pPr>
              <w:pStyle w:val="675"/>
              <w:contextualSpacing/>
              <w:ind w:left="0" w:right="0" w:firstLine="0"/>
              <w:jc w:val="center"/>
              <w:spacing w:before="0"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75"/>
              <w:contextualSpacing/>
              <w:ind w:left="0" w:right="0" w:firstLine="0"/>
              <w:jc w:val="center"/>
              <w:spacing w:before="0"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3</w:t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1918" w:type="dxa"/>
            <w:textDirection w:val="lrTb"/>
            <w:noWrap w:val="false"/>
          </w:tcPr>
          <w:p>
            <w:pPr>
              <w:pStyle w:val="675"/>
              <w:contextualSpacing/>
              <w:ind w:left="0" w:right="0" w:firstLine="0"/>
              <w:jc w:val="center"/>
              <w:spacing w:before="0"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4</w:t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1951" w:type="dxa"/>
            <w:textDirection w:val="lrTb"/>
            <w:noWrap w:val="false"/>
          </w:tcPr>
          <w:p>
            <w:pPr>
              <w:pStyle w:val="675"/>
              <w:contextualSpacing/>
              <w:ind w:left="0" w:right="0" w:firstLine="0"/>
              <w:jc w:val="center"/>
              <w:spacing w:before="0"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5</w:t>
            </w:r>
            <w:r>
              <w:rPr>
                <w:rFonts w:ascii="Times New Roman" w:hAnsi="Times New Roman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1 00 00000 00 0000 000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6236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both"/>
              <w:spacing w:before="0" w:after="0" w:line="240" w:lineRule="auto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НАЛОГОВЫЕ И НЕНАЛОГОВЫЕ ДОХОДЫ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4 583 874 917,30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1918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3 737 303 993,62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1951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4 054 281 511,01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spacing w:before="0" w:after="0" w:line="240" w:lineRule="auto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</w:r>
            <w:r>
              <w:rPr>
                <w:rFonts w:ascii="Times New Roman" w:hAnsi="Times New Roman"/>
                <w:b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6236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both"/>
              <w:spacing w:before="0" w:after="0" w:line="240" w:lineRule="auto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НАЛОГОВЫЕ ДОХОДЫ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4 174 056 107,30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1918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3 430 471 783,62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1951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3 764 785 701,01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1 01 00000 00 0000 000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6236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both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НАЛОГИ НА ПРИБЫЛЬ, ДОХОДЫ 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3 555 926 107,30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1918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2 842 379 783,62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1951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3 171 019 701,01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1 01 02000 01 0000 110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6236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both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Налог на доходы физических лиц 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3 555 926 107,30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1918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2 842 379 783,62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1951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3 171 019 701,01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1 03 02000 01 0000 110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6236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both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АКЦИЗЫ ПО ПОДАКЦИЗНЫМ ТОВАРАМ (ПРОДУКЦИИ), ПРОИЗВОДИМЫМ НА ТЕРРИТОРИИ РОССИЙСКОЙ ФЕДЕРАЦИИ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55 056 000,00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1918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57 308 000,00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1951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57 308 000,00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1 03 03000 01 0000 110 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6236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both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ТУРИСТИЧЕСКИЙ НАЛОГ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18 600 000,00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1918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18 600 000,00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1951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18 600 000,00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1 05 00000 00 0000 000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6236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both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НАЛОГИ НА СОВОКУПНЫЙ ДОХОД 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155 122 000,00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1918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169 832 000,00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1951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175 506 000,00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1 05 01000 00 0000 110 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6236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both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Налог, взимаемый в связи с применением упрощенной системы налогообложения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40 000 000,00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1918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41 288 000,00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1951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42 526 000,00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1 05 03000 01 0000 110 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6236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both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Единый сельскохозяйственный налог 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9 300 000,00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1918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15 774 000,00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1951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16 263 000,00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1 05 04010 02 0000 110 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6236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both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Налог, взимаемый в связи с применением патентной системы налогообложения, зачисляемый в бюджеты городских округов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105 822 000,00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1918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112 770 000,00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1951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116 717 000,00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1 06 00000 00 0000 000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6236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both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НАЛОГИ НА ИМУЩЕСТВО 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360 752 000,00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1918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313 752 000,00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1951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313 752 000,00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1 06 01020 04 0000 110 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6236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both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Налог на имущество физических лиц, взимаемый по ставкам, применяемым к объектам налогообложения, расположенным в границах городских округов 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218 796 000,00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1918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171 796 000,00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1951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171 796 000,00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1 06 06000 00 0000 110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6236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both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Земельный налог 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141 956 000,00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1918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141 956 000,00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1951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141 956 000,00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1 08 00000 00 0000 000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6236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both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ГОСУДАРСТВЕННАЯ ПОШЛИНА 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28 600 000,00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1918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28 600 000,00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1951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28 600 000,00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1 08 03010 01 0000 110 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6236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both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Государственная пошлина по делам, рассматриваемым в судах общей юрисдикции, мировыми судьями (за исключением Верховного суда Российской Федерации) 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28 000 000,00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1918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28 000 000,00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1951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28 000 000,00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1 08 07150 01 0000 110 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6236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both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Государственная пошлина за выдачу разрешения на установку рекламной конструкции 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600 000,00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1918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600 000,00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1951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600 000,00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6236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both"/>
              <w:spacing w:before="0" w:after="0" w:line="240" w:lineRule="auto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НЕНАЛОГОВЫЕ ДОХОДЫ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409 818 810,00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1918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306 832 210,00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1951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289 495 810,00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1 11 00000 00 0000 000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6236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both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ДОХОДЫ ОТ ИСПОЛЬЗОВАНИЯ ИМУЩЕСТВА, НАХОДЯЩЕГОСЯ В ГОСУДАРСТВЕННОЙ И МУНИЦИПАЛЬНОЙ СОБСТВЕННОСТИ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170 305 160,00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1918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166 839 060,00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1951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161 082 990,00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1 11 01040 04 0000 120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6236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both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городским округам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1 000 000,00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1918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1 000 000,00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1951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1 000 000,00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1 11 05000 00 0000 120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6236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both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Доходы, получаемые в виде арендн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 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124 666 400,00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1918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121 320 300,00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1951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118 125 900,00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1 11 05012 04 0000 120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6236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both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Доходы, п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участков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103 490 000,00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1918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100 440 800,00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1951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97 226 100,00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1 11 05024 04 0000 120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6236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both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округов (за исключением земельных участков муниципальных бюджетных и автономных учреждении)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1 025 000,00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1918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890 000,00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1951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890 000,00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1 11 05034 04 0000 120 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6236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both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Доходы от сдачи в аренду имущества, находящегося в оперативном управлении органов управления городских округов и созданных ими учреждений (за исключением имущества муниципальных бюджетных и автономных учреждений)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2 011 400,00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1918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2 031 500,00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1951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2 051 800,00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1 11 05074 04 0000 120 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6236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both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Доходы от сдачи в аренду имущества, составляющего казну городских округов (за исключением земельных участков)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18 140 000,00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1918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17 958 000,00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1951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17 958 000,00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1 11 07014 04 0000 120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6236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both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округами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399 100,00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1918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415 100,00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1951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431 700,00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1 11 09044 04 0000 120 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6236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both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30 000 000,00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1918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30 000 000,00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1951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30 000 000,00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1 11 09080 04 0000 120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6236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both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Плата, поступившая в рамках договора за предоставление права на размещение и эксплуатацию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нестационарного торгового объекта, установку и эксплуатацию рекламных конструкций на землях или земельных участках, находящихся в собственности городских округов, и на землях или земельных участках, государственная собственность на которые не разграничена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14 239 660,00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1918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14 103 660,00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1951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11 525 390,00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1 12 00000 00 0000 000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6236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both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ПЛАТЕЖИ ПРИ ПОЛЬЗОВАНИИ ПРИРОДНЫМИ РЕСУРСАМИ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5 700 000,00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1918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4 600 000,00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1951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4 600 000,00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1 12 01000 01 0000 120 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6236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both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Плата за негативное воздействие на окружающую среду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5 700 000,00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1918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4 600 000,00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1951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4 600 000,00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1 13 00000 00 0000 000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6236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both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ДОХОДЫ ОТ ОКАЗАНИЯ ПЛАТНЫХ УСЛУГ И КОМПЕНСАЦИИ ЗАТРАТ ГОСУДАРСТВА 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25 515 130,00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1918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23 122 880,00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1951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11 542 720,00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1 13 01074 04 0000 130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6236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both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Доходы от оказания информационных услуг органами местного самоуправления городских округов, казенными учреждениями городских округов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180 000,00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1918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180 000,00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1951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180 000,00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1 13 01994 04 0000 130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6236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both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Прочие доходы от оказания платных услуг (работ) получателями средств бюджетов городских округов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1 280 000,00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1918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1 280 000,00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1951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1 280 000,00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1 13 02064 04 0000 130 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6236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both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Доходы, поступающие в порядке возмещения расходов, понесенных в связи с эксплуатацией имущества городских округов 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464 490,00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1918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464 490,00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1951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464 490,00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1 13 02994 04 0000 130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6236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both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Прочие доходы от компенсации затрат бюджетов городских округов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23 590 640,00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1918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21 198 390,00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1951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9 618 230,00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1 14 00000 00 0000 000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6236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both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ДОХОДЫ ОТ ПРОДАЖИ МАТЕРИАЛЬНЫХ И НЕМАТЕРИАЛЬНЫХ АКТИВОВ 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169 665 550,00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1918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107 137 300,00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1951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107 137 130,00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1 14 02040 04 0000 410 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6236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both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Доходы от реализации имущества, находящегося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 собственности городских округов (за исключением движимого имущества муниципальных бюджетных и автономных учреждений, а также имущества муниципальных унитарных предприятий, в том числе казенных) в части реализации основных средств по указанному имуществу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9 997 550,00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1918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7 469 300,00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1951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7 469 130,00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1 14 06012 04 0000 430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6236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both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Доходы от продажи земельных участков, государственная собственность на которые не разграничена и которые расположены в границах городских округов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133 300 000,00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1918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73 300 000,00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1951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73 300 000,00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1 14 06312 04 0000 430 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6236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both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Плата за увеличение площади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 и которые расположены в границах городских округов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26 368 000,00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1918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26 368 000,00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1951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26 368 000,00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1 15 00000 00 0000 000 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6236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both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АДМИНИСТРАТИВНЫЕ ПЛАТЕЖИ И СБОРЫ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1 300 000,00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1918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1 300 000,00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1951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1 300 000,00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1 16 00000 00 0000 000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6236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both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ШТРАФЫ, САНКЦИИ, ВОЗМЕЩЕНИЕ УЩЕРБА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37 319 570,00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1918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3 819 570,00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1951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3 819 570,00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1 17 00000 00 0000 000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6236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both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ПРОЧИЕ НЕНАЛОГОВЫЕ ДОХОДЫ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13 400,00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1918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13 400,00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1951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13 400,00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1 17 05040 04 0000 180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6236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both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Прочие неналоговые доходы бюджетов городских округов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13 400,00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1918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13 400,00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1951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13 400,00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2 00 00000 00 0000 000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6236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both"/>
              <w:spacing w:before="0" w:after="0" w:line="240" w:lineRule="auto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БЕЗВОЗМЕЗДНЫЕ ПОСТУПЛЕНИЯ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6 078 928 544,01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1918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5 667 415 342,51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1951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5 127 010 450,09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2 02 00000 00 0000 000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6236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both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БЕЗВОЗМЕЗДНЫЕ ПОСТУПЛЕНИЯ ОТ ДРУГИХ БЮДЖЕТОВ БЮДЖЕТНОЙ СИСТЕМЫ РОССИЙСКОЙ ФЕДЕРАЦИИ 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6 078 928 544,01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1918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5 667 415 342,51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1951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5 127 010 450,09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2 02 10000 00 0000 150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6236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both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Дотации бюджетам бюджетной системы Российской Федерации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42 530 000,00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1918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0,00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1951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0,00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2 02 19999 04 0000 150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6236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both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Прочие дотации бюджетам городских округов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42 530 000,00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1918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0,00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1951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0,00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2 02 20000 00 0000 150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6236" w:type="dxa"/>
            <w:vAlign w:val="bottom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both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Субсидии бюджетам бюджетной системы Российской Федерации (межбюджетные субсидии)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2 082 028 819,13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1918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1 733 729 798,38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1951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948 190 165,81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</w:tr>
      <w:tr>
        <w:tblPrEx/>
        <w:trPr>
          <w:trHeight w:val="6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2 02 20077 04 0000 150 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6236" w:type="dxa"/>
            <w:vAlign w:val="bottom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both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Субсидии бюджетам городских округов на софинансирование капитальных вложений в объекты муниципальной собственности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1 179 441 478,82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1918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996 121 307,29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1951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420 000 000,00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2 02 25049 04 0000 150 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6236" w:type="dxa"/>
            <w:vAlign w:val="bottom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both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Субсидии бюджетам городских округов на адресное строительство школ в отдельных населенных пунктах с объективно выявленной потребностью инфраструктуры (зданий) школ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233 095 204,08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1918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235 498 247,42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1951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235 498 350,52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2 02 25054 04 0000 150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6236" w:type="dxa"/>
            <w:vAlign w:val="bottom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both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Субсидии бюджетам городских округов на адресное строительство детских садов в отдельных населенных пунктах с объективно выявленной потребностью инфраструктуры (зданий)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107 102 040,82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1918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74 391 752,58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1951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87 917 525,78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2 02 25065 04 0000 150 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6236" w:type="dxa"/>
            <w:textDirection w:val="lrTb"/>
            <w:noWrap w:val="false"/>
          </w:tcPr>
          <w:p>
            <w:pPr>
              <w:pStyle w:val="691"/>
              <w:contextualSpacing/>
              <w:jc w:val="left"/>
              <w:spacing w:before="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Субсидии бюджетам городских округов на реализацию государственных программ субъектов Российской Федерации в области использования и охраны водных объектов 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8 450 507,94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1918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0,00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1951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0,00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2 02 25081 04 0000 150 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6236" w:type="dxa"/>
            <w:vAlign w:val="bottom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Субсидии бюджетам городских округов на государственную поддержку организаций, входящих в систему спортивной подготовки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359 129,06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1918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0,00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1951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0,00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2 02 25315 04 0000 150 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6236" w:type="dxa"/>
            <w:textDirection w:val="lrTb"/>
            <w:noWrap w:val="false"/>
          </w:tcPr>
          <w:p>
            <w:pPr>
              <w:pStyle w:val="691"/>
              <w:contextualSpacing/>
              <w:jc w:val="lef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Субсидии бюджетам городских округов на осуществление капитального ремонта и оснащение образовательных организаций, осуществляющих образовательную деятельность по образовательным программам дошкольного образования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0,00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1918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33 231 855,67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1951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0,00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2 02 25348 04 0000 150 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6236" w:type="dxa"/>
            <w:vAlign w:val="bottom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Субсидии бюджетам городских округов на модернизацию региональных и муниципальных библиотек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0,00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1918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818 865,98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1951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2 713 505,15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2 02 25466 04 0000 150 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6236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Субсидии бюджетам городских округов на поддержку творческой деятельности и укрепление материально-технической базы муниципальных театров в населенных пунктах с численностью населения до 300 тысяч человек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572 168,67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1918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666 296,30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1951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646 835,44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2 02 25467 04 0000 150 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6236" w:type="dxa"/>
            <w:vAlign w:val="bottom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Субсидии бюджетам городских округов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1 600 595,87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1918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0,00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1951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0,00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2 02 25497 04 0000 150 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6236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Субсидии бюджетам городских округов на реализацию мероприятий по обеспечению жильем молодых семей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34 250 658,00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1918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0,00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1951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0,00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2 02 25513 04 0000 150 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6236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Субсидии бюджетам городских округов на развитие сети учреждений культурно-досугового типа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6 453 673,47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1918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33 161 649,49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1951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0,00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2 02 25555 04 0000 150 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6236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Субсидии бюджетам городских округов на реализацию программ формирования современной городской среды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65 040 212,73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1918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66 300 091,78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1951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63 560 825,42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2 02 25599 04 0000 150 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6236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Субсидии бюджетам городских округов на подготовку проектов межевания земельных участков и на проведение кадастровых работ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3 128 331,86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1918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0,00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1951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0,00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2 02 25750 04 0000 150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6236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Субсидии бюджетам городских округов на реализацию мероприятий по модернизации школьных систем образования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67 682 926,83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1918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0,00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1951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0,00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2 02 29999 04 0000 150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6236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both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Прочие субсидии бюджетам городских округов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374 851 890,98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1918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293 539 731,87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1951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137 853 123,50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2 02 30000 00 0000 150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6236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both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Субвенции бюджетам бюджетной системы Российской Федерации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3 803 022 171,76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1918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3 791 944 148,13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1951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4 036 860 021,72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2 02 30024 04 0000 150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6236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both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Субвенции бюджетам городских округов на выполнение передаваемых полномочий субъектов Российской Федерации 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3 512 174 093,76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1918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3 487 249 935,13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1951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3 736 353 188,72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2 02 30029 04 0000 150 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6236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both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Субвенции бюджетам городских округов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57 014 093,00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1918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59 286 394,00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1951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61 661 981,00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2 02 35082 04 0000 150 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6236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both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Субвенции бюджетам городских округов на 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29 503 080,00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1918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54 088 980,00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1951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54 088 980,00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2 02 35120 04 0000 150 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6236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both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Субвенции бюджетам городских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225 796,00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1918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1 799 859,00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1951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230 023,00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2 02 35304 04 0000 150 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6236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both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Субвенции бюджетам городских округов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178 296 000,00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1918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163 324 950,00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1951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157 963 150,00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2 02 35930 04 0000 150 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6236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both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Субвенции бюджетам городских округов на государственную регистрацию актов гражданского состояния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16 977 336,00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1918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16 977 336,00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1951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16 977 336,00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2 02 36900 04 0000 150 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6236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both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Единая субвенция бюджетам городских округов из бюджета субъекта Российской Федерации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6 247 681,00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1918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6 519 677,00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1951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6 780 465,00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2 02 39999 04 0000 150 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6236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both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Прочие субвенции бюджетам городских округов 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2 584 092,00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1918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2 697 017,00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1951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2 804 898,00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2 02 40000 00 0000 150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6236" w:type="dxa"/>
            <w:textDirection w:val="lrTb"/>
            <w:noWrap w:val="false"/>
          </w:tcPr>
          <w:p>
            <w:pPr>
              <w:pStyle w:val="691"/>
              <w:contextualSpacing/>
              <w:jc w:val="both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Иные межбюджетные трансферты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151 347 553,12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1918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141 741 396,00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1951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141 960 262,56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2 02 45050 04 0000 150 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6236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both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Межбюджетные трансферты, передаваемые бюджетам городских округов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х общеобразовательных организаций, профессиональных образовательных организаций субъектов Российской Федерации, города Байконура и федеральной территории "Сириус", муниципальных общеобразовательных организаций и профессиональных образовательных организаций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3 866 940,00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1918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3 866 940,00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1951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3 866 940,00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2 02 45179 04 0000 150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6236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both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Межбюджетные трансферты, передаваемые бюджетам городских округов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11 918 613,12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1918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12 099 456,00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1951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12 318 322,56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2 02 45303 04 0000 150 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6236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both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Межбюджетные трансферты, передаваемые бюджетам городских округов на ежемесячное денежное вознаграждение за классное руководство педагогич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125 892 000,00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1918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125 775 000,00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1951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125 775 000,00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2 02 49999 04 0000 150 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6236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both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Прочие межбюджетные трансферты, передаваемые бюджетам городских округов 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9 670 000,00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1918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0,00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1951" w:type="dxa"/>
            <w:textDirection w:val="lrTb"/>
            <w:noWrap w:val="false"/>
          </w:tcPr>
          <w:p>
            <w:pPr>
              <w:pStyle w:val="691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0,00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691"/>
              <w:contextualSpacing/>
              <w:spacing w:before="0" w:after="0" w:line="240" w:lineRule="auto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</w:r>
            <w:r>
              <w:rPr>
                <w:rFonts w:ascii="Times New Roman" w:hAnsi="Times New Roman"/>
                <w:b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6236" w:type="dxa"/>
            <w:textDirection w:val="lrTb"/>
            <w:noWrap w:val="false"/>
          </w:tcPr>
          <w:p>
            <w:pPr>
              <w:pStyle w:val="691"/>
              <w:contextualSpacing/>
              <w:jc w:val="both"/>
              <w:spacing w:before="0" w:after="0" w:line="240" w:lineRule="auto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ДОХОДОВ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91"/>
              <w:contextualSpacing/>
              <w:jc w:val="right"/>
              <w:spacing w:before="0" w:after="0" w:line="240" w:lineRule="auto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10 662 803 461,31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1918" w:type="dxa"/>
            <w:textDirection w:val="lrTb"/>
            <w:noWrap w:val="false"/>
          </w:tcPr>
          <w:p>
            <w:pPr>
              <w:pStyle w:val="691"/>
              <w:contextualSpacing/>
              <w:jc w:val="right"/>
              <w:spacing w:before="0" w:after="0" w:line="240" w:lineRule="auto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9 404 719 336,13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1951" w:type="dxa"/>
            <w:textDirection w:val="lrTb"/>
            <w:noWrap w:val="false"/>
          </w:tcPr>
          <w:p>
            <w:pPr>
              <w:pStyle w:val="691"/>
              <w:contextualSpacing/>
              <w:jc w:val="right"/>
              <w:spacing w:before="0" w:after="0" w:line="240" w:lineRule="auto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9 181 291 961,10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</w:r>
          </w:p>
        </w:tc>
      </w:tr>
    </w:tbl>
    <w:p>
      <w:pPr>
        <w:pStyle w:val="675"/>
        <w:contextualSpacing/>
        <w:ind w:left="0" w:right="0" w:firstLine="0"/>
        <w:spacing w:before="0" w:after="0" w:line="240" w:lineRule="auto"/>
        <w:widowControl w:val="off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/>
      <w:bookmarkStart w:id="1" w:name="_GoBack"/>
      <w:r/>
      <w:bookmarkEnd w:id="1"/>
      <w:r/>
      <w:r>
        <w:rPr>
          <w:rFonts w:ascii="Times New Roman" w:hAnsi="Times New Roman"/>
          <w:sz w:val="24"/>
          <w:szCs w:val="24"/>
        </w:rPr>
      </w:r>
    </w:p>
    <w:sectPr>
      <w:headerReference w:type="default" r:id="rId8"/>
      <w:headerReference w:type="even" r:id="rId9"/>
      <w:headerReference w:type="first" r:id="rId10"/>
      <w:footnotePr/>
      <w:endnotePr/>
      <w:type w:val="nextPage"/>
      <w:pgSz w:w="16838" w:h="11906" w:orient="landscape"/>
      <w:pgMar w:top="765" w:right="1134" w:bottom="709" w:left="1134" w:header="708" w:footer="0" w:gutter="0"/>
      <w:cols w:num="1" w:sep="0" w:space="1701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Noto Sans">
    <w:panose1 w:val="020B0502040504020204"/>
  </w:font>
  <w:font w:name="Liberation Sans">
    <w:panose1 w:val="020B0604020202020204"/>
  </w:font>
  <w:font w:name="Tahoma">
    <w:panose1 w:val="020B0604030504040204"/>
  </w:font>
  <w:font w:name="Calibri">
    <w:panose1 w:val="020F050202020403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1313768755"/>
      <w:docPartObj>
        <w:docPartGallery w:val="Page Numbers (Top of Page)"/>
        <w:docPartUnique w:val="true"/>
      </w:docPartObj>
      <w:rPr/>
    </w:sdtPr>
    <w:sdtContent>
      <w:p>
        <w:pPr>
          <w:pStyle w:val="688"/>
          <w:jc w:val="center"/>
        </w:pPr>
        <w:r>
          <w:fldChar w:fldCharType="begin"/>
        </w:r>
        <w:r>
          <w:instrText xml:space="preserve"> PAGE </w:instrText>
        </w:r>
        <w:r>
          <w:fldChar w:fldCharType="separate"/>
        </w:r>
        <w:r>
          <w:t xml:space="preserve">8</w:t>
        </w:r>
        <w:r>
          <w:fldChar w:fldCharType="end"/>
        </w:r>
        <w:r/>
      </w:p>
    </w:sdtContent>
  </w:sdt>
  <w:p>
    <w:pPr>
      <w:pStyle w:val="688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88"/>
    </w:pPr>
    <w:r/>
    <w:r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1313768755"/>
      <w:docPartObj>
        <w:docPartGallery w:val="Page Numbers (Top of Page)"/>
        <w:docPartUnique w:val="true"/>
      </w:docPartObj>
      <w:rPr/>
    </w:sdtPr>
    <w:sdtContent>
      <w:p>
        <w:pPr>
          <w:pStyle w:val="688"/>
          <w:jc w:val="center"/>
        </w:pPr>
        <w:r>
          <w:fldChar w:fldCharType="begin"/>
        </w:r>
        <w:r>
          <w:instrText xml:space="preserve"> PAGE </w:instrText>
        </w:r>
        <w:r>
          <w:fldChar w:fldCharType="separate"/>
        </w:r>
        <w:r>
          <w:t xml:space="preserve">8</w:t>
        </w:r>
        <w:r>
          <w:fldChar w:fldCharType="end"/>
        </w:r>
        <w:r/>
      </w:p>
    </w:sdtContent>
  </w:sdt>
  <w:p>
    <w:pPr>
      <w:pStyle w:val="688"/>
    </w:pPr>
    <w:r/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autoHyphenation w:val="true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numbering" w:styleId="12">
    <w:name w:val="No List"/>
    <w:uiPriority w:val="99"/>
    <w:semiHidden/>
    <w:unhideWhenUsed/>
  </w:style>
  <w:style w:type="paragraph" w:styleId="13">
    <w:name w:val="Heading 1"/>
    <w:basedOn w:val="675"/>
    <w:next w:val="675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676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75"/>
    <w:next w:val="675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676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75"/>
    <w:next w:val="675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676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75"/>
    <w:next w:val="675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676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75"/>
    <w:next w:val="675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676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75"/>
    <w:next w:val="675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676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75"/>
    <w:next w:val="675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676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75"/>
    <w:next w:val="675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676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75"/>
    <w:next w:val="675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676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75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75"/>
    <w:next w:val="675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676"/>
    <w:link w:val="34"/>
    <w:uiPriority w:val="10"/>
    <w:rPr>
      <w:sz w:val="48"/>
      <w:szCs w:val="48"/>
    </w:rPr>
  </w:style>
  <w:style w:type="paragraph" w:styleId="36">
    <w:name w:val="Subtitle"/>
    <w:basedOn w:val="675"/>
    <w:next w:val="675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676"/>
    <w:link w:val="36"/>
    <w:uiPriority w:val="11"/>
    <w:rPr>
      <w:sz w:val="24"/>
      <w:szCs w:val="24"/>
    </w:rPr>
  </w:style>
  <w:style w:type="paragraph" w:styleId="38">
    <w:name w:val="Quote"/>
    <w:basedOn w:val="675"/>
    <w:next w:val="675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75"/>
    <w:next w:val="675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character" w:styleId="43">
    <w:name w:val="Header Char"/>
    <w:basedOn w:val="676"/>
    <w:link w:val="688"/>
    <w:uiPriority w:val="99"/>
  </w:style>
  <w:style w:type="character" w:styleId="45">
    <w:name w:val="Footer Char"/>
    <w:basedOn w:val="676"/>
    <w:link w:val="689"/>
    <w:uiPriority w:val="99"/>
  </w:style>
  <w:style w:type="character" w:styleId="47">
    <w:name w:val="Caption Char"/>
    <w:basedOn w:val="684"/>
    <w:link w:val="689"/>
    <w:uiPriority w:val="99"/>
  </w:style>
  <w:style w:type="table" w:styleId="48">
    <w:name w:val="Table Grid"/>
    <w:basedOn w:val="694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69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9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94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9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9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9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9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9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9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9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69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9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69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69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69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69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69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69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9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69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69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69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69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69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75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676"/>
    <w:uiPriority w:val="99"/>
    <w:unhideWhenUsed/>
    <w:rPr>
      <w:vertAlign w:val="superscript"/>
    </w:rPr>
  </w:style>
  <w:style w:type="paragraph" w:styleId="178">
    <w:name w:val="endnote text"/>
    <w:basedOn w:val="675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676"/>
    <w:uiPriority w:val="99"/>
    <w:semiHidden/>
    <w:unhideWhenUsed/>
    <w:rPr>
      <w:vertAlign w:val="superscript"/>
    </w:rPr>
  </w:style>
  <w:style w:type="paragraph" w:styleId="181">
    <w:name w:val="toc 1"/>
    <w:basedOn w:val="675"/>
    <w:next w:val="675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75"/>
    <w:next w:val="675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75"/>
    <w:next w:val="675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75"/>
    <w:next w:val="675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75"/>
    <w:next w:val="675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75"/>
    <w:next w:val="675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75"/>
    <w:next w:val="675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75"/>
    <w:next w:val="675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75"/>
    <w:next w:val="675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75"/>
    <w:next w:val="675"/>
    <w:uiPriority w:val="99"/>
    <w:unhideWhenUsed/>
    <w:pPr>
      <w:spacing w:after="0" w:afterAutospacing="0"/>
    </w:pPr>
  </w:style>
  <w:style w:type="paragraph" w:styleId="675" w:default="1">
    <w:name w:val="Normal"/>
    <w:qFormat/>
    <w:pPr>
      <w:jc w:val="left"/>
      <w:spacing w:before="0" w:after="200" w:line="276" w:lineRule="auto"/>
      <w:widowControl/>
    </w:pPr>
    <w:rPr>
      <w:rFonts w:ascii="Calibri" w:hAnsi="Calibri" w:eastAsia="Calibri" w:asciiTheme="minorHAnsi" w:hAnsiTheme="minorHAnsi" w:eastAsiaTheme="minorHAnsi" w:cstheme="minorBidi"/>
      <w:color w:val="auto"/>
      <w:sz w:val="22"/>
      <w:szCs w:val="22"/>
      <w:lang w:val="ru-RU" w:eastAsia="en-US" w:bidi="ar-SA"/>
    </w:rPr>
  </w:style>
  <w:style w:type="character" w:styleId="676" w:default="1">
    <w:name w:val="Default Paragraph Font"/>
    <w:uiPriority w:val="1"/>
    <w:semiHidden/>
    <w:unhideWhenUsed/>
    <w:qFormat/>
  </w:style>
  <w:style w:type="character" w:styleId="677" w:customStyle="1">
    <w:name w:val="Верхний колонтитул Знак"/>
    <w:basedOn w:val="676"/>
    <w:uiPriority w:val="99"/>
    <w:qFormat/>
  </w:style>
  <w:style w:type="character" w:styleId="678" w:customStyle="1">
    <w:name w:val="Нижний колонтитул Знак"/>
    <w:basedOn w:val="676"/>
    <w:uiPriority w:val="99"/>
    <w:semiHidden/>
    <w:qFormat/>
  </w:style>
  <w:style w:type="character" w:styleId="679" w:customStyle="1">
    <w:name w:val="Текст выноски Знак"/>
    <w:basedOn w:val="676"/>
    <w:link w:val="690"/>
    <w:uiPriority w:val="99"/>
    <w:semiHidden/>
    <w:qFormat/>
    <w:rPr>
      <w:rFonts w:ascii="Tahoma" w:hAnsi="Tahoma" w:cs="Tahoma"/>
      <w:sz w:val="16"/>
      <w:szCs w:val="16"/>
    </w:rPr>
  </w:style>
  <w:style w:type="character" w:styleId="680">
    <w:name w:val="Internet Link"/>
    <w:basedOn w:val="676"/>
    <w:uiPriority w:val="99"/>
    <w:semiHidden/>
    <w:unhideWhenUsed/>
    <w:qFormat/>
    <w:rPr>
      <w:color w:val="0000ff"/>
      <w:u w:val="single"/>
    </w:rPr>
  </w:style>
  <w:style w:type="paragraph" w:styleId="681">
    <w:name w:val="Заголовок"/>
    <w:basedOn w:val="675"/>
    <w:next w:val="682"/>
    <w:qFormat/>
    <w:pPr>
      <w:keepNext/>
      <w:spacing w:before="240" w:after="120"/>
    </w:pPr>
    <w:rPr>
      <w:rFonts w:ascii="Liberation Sans" w:hAnsi="Liberation Sans" w:eastAsia="Tahoma" w:cs="Noto Sans"/>
      <w:sz w:val="28"/>
      <w:szCs w:val="28"/>
    </w:rPr>
  </w:style>
  <w:style w:type="paragraph" w:styleId="682">
    <w:name w:val="Body Text"/>
    <w:basedOn w:val="675"/>
    <w:pPr>
      <w:spacing w:before="0" w:after="140" w:line="276" w:lineRule="auto"/>
    </w:pPr>
  </w:style>
  <w:style w:type="paragraph" w:styleId="683">
    <w:name w:val="List"/>
    <w:basedOn w:val="682"/>
    <w:rPr>
      <w:rFonts w:cs="Noto Sans"/>
    </w:rPr>
  </w:style>
  <w:style w:type="paragraph" w:styleId="684">
    <w:name w:val="Caption"/>
    <w:basedOn w:val="675"/>
    <w:qFormat/>
    <w:pPr>
      <w:spacing w:before="120" w:after="120"/>
      <w:suppressLineNumbers/>
    </w:pPr>
    <w:rPr>
      <w:rFonts w:cs="Noto Sans"/>
      <w:i/>
      <w:iCs/>
      <w:sz w:val="24"/>
      <w:szCs w:val="24"/>
    </w:rPr>
  </w:style>
  <w:style w:type="paragraph" w:styleId="685">
    <w:name w:val="Указатель"/>
    <w:basedOn w:val="675"/>
    <w:qFormat/>
    <w:pPr>
      <w:suppressLineNumbers/>
    </w:pPr>
    <w:rPr>
      <w:rFonts w:cs="Noto Sans"/>
    </w:rPr>
  </w:style>
  <w:style w:type="paragraph" w:styleId="686">
    <w:name w:val="Колонтитул"/>
    <w:basedOn w:val="675"/>
    <w:qFormat/>
  </w:style>
  <w:style w:type="paragraph" w:styleId="687">
    <w:name w:val="Header and Footer"/>
    <w:basedOn w:val="675"/>
    <w:qFormat/>
  </w:style>
  <w:style w:type="paragraph" w:styleId="688">
    <w:name w:val="Header"/>
    <w:basedOn w:val="675"/>
    <w:link w:val="677"/>
    <w:uiPriority w:val="99"/>
    <w:unhideWhenUsed/>
    <w:pPr>
      <w:spacing w:before="0" w:after="0" w:line="240" w:lineRule="auto"/>
      <w:tabs>
        <w:tab w:val="clear" w:pos="708" w:leader="none"/>
        <w:tab w:val="center" w:pos="4677" w:leader="none"/>
        <w:tab w:val="right" w:pos="9355" w:leader="none"/>
      </w:tabs>
    </w:pPr>
  </w:style>
  <w:style w:type="paragraph" w:styleId="689">
    <w:name w:val="Footer"/>
    <w:basedOn w:val="675"/>
    <w:link w:val="678"/>
    <w:uiPriority w:val="99"/>
    <w:semiHidden/>
    <w:unhideWhenUsed/>
    <w:pPr>
      <w:spacing w:before="0" w:after="0" w:line="240" w:lineRule="auto"/>
      <w:tabs>
        <w:tab w:val="clear" w:pos="708" w:leader="none"/>
        <w:tab w:val="center" w:pos="4677" w:leader="none"/>
        <w:tab w:val="right" w:pos="9355" w:leader="none"/>
      </w:tabs>
    </w:pPr>
  </w:style>
  <w:style w:type="paragraph" w:styleId="690">
    <w:name w:val="Balloon Text"/>
    <w:basedOn w:val="675"/>
    <w:link w:val="679"/>
    <w:uiPriority w:val="99"/>
    <w:semiHidden/>
    <w:unhideWhenUsed/>
    <w:qFormat/>
    <w:pPr>
      <w:spacing w:before="0" w:after="0" w:line="240" w:lineRule="auto"/>
    </w:pPr>
    <w:rPr>
      <w:rFonts w:ascii="Tahoma" w:hAnsi="Tahoma" w:cs="Tahoma"/>
      <w:sz w:val="16"/>
      <w:szCs w:val="16"/>
    </w:rPr>
  </w:style>
  <w:style w:type="paragraph" w:styleId="691">
    <w:name w:val="Содержимое таблицы"/>
    <w:basedOn w:val="675"/>
    <w:qFormat/>
    <w:pPr>
      <w:widowControl w:val="off"/>
      <w:suppressLineNumbers/>
    </w:pPr>
  </w:style>
  <w:style w:type="paragraph" w:styleId="692">
    <w:name w:val="Заголовок таблицы"/>
    <w:basedOn w:val="691"/>
    <w:qFormat/>
    <w:pPr>
      <w:jc w:val="center"/>
      <w:suppressLineNumbers/>
    </w:pPr>
    <w:rPr>
      <w:b/>
      <w:bCs/>
    </w:rPr>
  </w:style>
  <w:style w:type="numbering" w:styleId="693" w:default="1">
    <w:name w:val="Без списка"/>
    <w:uiPriority w:val="99"/>
    <w:semiHidden/>
    <w:unhideWhenUsed/>
    <w:qFormat/>
  </w:style>
  <w:style w:type="table" w:styleId="694" w:default="1">
    <w:name w:val="Normal Table"/>
    <w:uiPriority w:val="99"/>
    <w:semiHidden/>
    <w:unhideWhenUsed/>
    <w:tblPr>
      <w:tblCellMar>
        <w:left w:w="108" w:type="dxa"/>
        <w:top w:w="0" w:type="dxa"/>
        <w:right w:w="108" w:type="dxa"/>
        <w:bottom w:w="0" w:type="dxa"/>
      </w:tblCellMar>
    </w:tbl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header" Target="header2.xml" /><Relationship Id="rId10" Type="http://schemas.openxmlformats.org/officeDocument/2006/relationships/header" Target="header3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Р7-Офис/2024.4.1.625</Application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209a</dc:creator>
  <dc:description/>
  <dc:language>ru-RU</dc:language>
  <cp:revision>228</cp:revision>
  <dcterms:created xsi:type="dcterms:W3CDTF">2018-11-30T08:07:00Z</dcterms:created>
  <dcterms:modified xsi:type="dcterms:W3CDTF">2025-02-02T22:48:48Z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